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8D05D6" w:rsidRPr="005C7E37" w:rsidTr="008D05D6">
        <w:trPr>
          <w:cantSplit/>
          <w:trHeight w:hRule="exact" w:val="4860"/>
        </w:trPr>
        <w:tc>
          <w:tcPr>
            <w:tcW w:w="2880" w:type="dxa"/>
            <w:vMerge w:val="restart"/>
            <w:tcMar>
              <w:left w:w="0" w:type="dxa"/>
              <w:right w:w="0" w:type="dxa"/>
            </w:tcMar>
          </w:tcPr>
          <w:p w:rsidR="008D05D6" w:rsidRPr="005C7E37" w:rsidRDefault="008D05D6" w:rsidP="008D05D6">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8D05D6" w:rsidRPr="005C7E37" w:rsidRDefault="008D05D6" w:rsidP="008D05D6">
            <w:pPr>
              <w:rPr>
                <w:rFonts w:ascii="Arial" w:hAnsi="Arial"/>
              </w:rPr>
            </w:pPr>
          </w:p>
        </w:tc>
        <w:tc>
          <w:tcPr>
            <w:tcW w:w="6300" w:type="dxa"/>
            <w:tcBorders>
              <w:bottom w:val="single" w:sz="4" w:space="0" w:color="auto"/>
            </w:tcBorders>
            <w:tcMar>
              <w:left w:w="0" w:type="dxa"/>
              <w:right w:w="0" w:type="dxa"/>
            </w:tcMar>
            <w:vAlign w:val="bottom"/>
          </w:tcPr>
          <w:p w:rsidR="008D05D6" w:rsidRPr="005C7E37" w:rsidRDefault="008D05D6" w:rsidP="008D05D6">
            <w:pPr>
              <w:pStyle w:val="JCCReportCoverTitle"/>
              <w:rPr>
                <w:rFonts w:ascii="Arial" w:hAnsi="Arial"/>
              </w:rPr>
            </w:pPr>
            <w:r w:rsidRPr="005C7E37">
              <w:rPr>
                <w:rFonts w:ascii="Arial" w:hAnsi="Arial"/>
              </w:rPr>
              <w:t>REQUEST FOR PROPOSALS</w:t>
            </w:r>
          </w:p>
          <w:p w:rsidR="008D05D6" w:rsidRPr="005C7E37" w:rsidRDefault="008D05D6" w:rsidP="008D05D6">
            <w:pPr>
              <w:pStyle w:val="JCCReportCoverSpacer"/>
              <w:rPr>
                <w:rFonts w:ascii="Arial" w:hAnsi="Arial"/>
              </w:rPr>
            </w:pPr>
            <w:r w:rsidRPr="005C7E37">
              <w:rPr>
                <w:rFonts w:ascii="Arial" w:hAnsi="Arial"/>
              </w:rPr>
              <w:t xml:space="preserve"> </w:t>
            </w:r>
          </w:p>
        </w:tc>
      </w:tr>
      <w:tr w:rsidR="008D05D6" w:rsidRPr="005C7E37" w:rsidTr="008D05D6">
        <w:trPr>
          <w:cantSplit/>
          <w:trHeight w:hRule="exact" w:val="6580"/>
        </w:trPr>
        <w:tc>
          <w:tcPr>
            <w:tcW w:w="2880" w:type="dxa"/>
            <w:vMerge/>
            <w:tcMar>
              <w:left w:w="0" w:type="dxa"/>
              <w:right w:w="0" w:type="dxa"/>
            </w:tcMar>
          </w:tcPr>
          <w:p w:rsidR="008D05D6" w:rsidRPr="005C7E37" w:rsidRDefault="008D05D6" w:rsidP="008D05D6">
            <w:pPr>
              <w:rPr>
                <w:rFonts w:ascii="Arial" w:hAnsi="Arial" w:cs="Arial"/>
              </w:rPr>
            </w:pPr>
          </w:p>
        </w:tc>
        <w:tc>
          <w:tcPr>
            <w:tcW w:w="270" w:type="dxa"/>
            <w:vMerge/>
            <w:tcMar>
              <w:left w:w="0" w:type="dxa"/>
              <w:right w:w="0" w:type="dxa"/>
            </w:tcMar>
          </w:tcPr>
          <w:p w:rsidR="008D05D6" w:rsidRPr="005C7E37" w:rsidRDefault="008D05D6" w:rsidP="008D05D6">
            <w:pPr>
              <w:rPr>
                <w:rFonts w:ascii="Arial" w:hAnsi="Arial"/>
                <w:b/>
                <w:caps/>
                <w:spacing w:val="20"/>
                <w:sz w:val="28"/>
              </w:rPr>
            </w:pPr>
          </w:p>
        </w:tc>
        <w:tc>
          <w:tcPr>
            <w:tcW w:w="6300" w:type="dxa"/>
            <w:tcBorders>
              <w:top w:val="single" w:sz="4" w:space="0" w:color="auto"/>
            </w:tcBorders>
            <w:tcMar>
              <w:left w:w="0" w:type="dxa"/>
              <w:right w:w="0" w:type="dxa"/>
            </w:tcMar>
          </w:tcPr>
          <w:p w:rsidR="008D05D6" w:rsidRPr="005C7E37" w:rsidRDefault="008D05D6" w:rsidP="008D05D6">
            <w:pPr>
              <w:pStyle w:val="JCCReportCoverSubhead"/>
              <w:rPr>
                <w:rFonts w:ascii="Arial" w:hAnsi="Arial"/>
                <w:b/>
              </w:rPr>
            </w:pPr>
            <w:r w:rsidRPr="005C7E37">
              <w:rPr>
                <w:rFonts w:ascii="Arial" w:hAnsi="Arial"/>
                <w:b/>
              </w:rPr>
              <w:t>AdministRative Office of the Courts (AOC)</w:t>
            </w:r>
          </w:p>
          <w:p w:rsidR="008D05D6" w:rsidRDefault="008D05D6" w:rsidP="008D05D6">
            <w:pPr>
              <w:pStyle w:val="JCCReportCoverSubhead"/>
              <w:rPr>
                <w:rFonts w:ascii="Arial" w:hAnsi="Arial"/>
                <w:b/>
              </w:rPr>
            </w:pPr>
          </w:p>
          <w:p w:rsidR="007D7C58" w:rsidRDefault="007D7C58" w:rsidP="008D05D6">
            <w:pPr>
              <w:pStyle w:val="JCCReportCoverSubhead"/>
              <w:rPr>
                <w:rFonts w:ascii="Arial" w:hAnsi="Arial"/>
                <w:b/>
              </w:rPr>
            </w:pPr>
          </w:p>
          <w:p w:rsidR="007D7C58" w:rsidRPr="005C7E37" w:rsidRDefault="007D7C58" w:rsidP="00012E2B">
            <w:pPr>
              <w:pStyle w:val="CommentText"/>
              <w:tabs>
                <w:tab w:val="left" w:pos="2340"/>
              </w:tabs>
              <w:ind w:left="2340" w:right="252" w:hanging="2340"/>
              <w:rPr>
                <w:rFonts w:asciiTheme="majorHAnsi" w:hAnsiTheme="majorHAnsi" w:cstheme="majorHAnsi"/>
                <w:b/>
                <w:sz w:val="24"/>
                <w:szCs w:val="24"/>
              </w:rPr>
            </w:pPr>
            <w:r>
              <w:rPr>
                <w:rFonts w:asciiTheme="majorHAnsi" w:hAnsiTheme="majorHAnsi" w:cstheme="majorHAnsi"/>
                <w:b/>
                <w:sz w:val="24"/>
                <w:szCs w:val="24"/>
              </w:rPr>
              <w:t>Regarding</w:t>
            </w:r>
            <w:r w:rsidRPr="005C7E37">
              <w:rPr>
                <w:rFonts w:asciiTheme="majorHAnsi" w:hAnsiTheme="majorHAnsi" w:cstheme="majorHAnsi"/>
                <w:b/>
                <w:sz w:val="24"/>
                <w:szCs w:val="24"/>
              </w:rPr>
              <w:t>:</w:t>
            </w:r>
            <w:r w:rsidRPr="005C7E37">
              <w:rPr>
                <w:rFonts w:asciiTheme="majorHAnsi" w:hAnsiTheme="majorHAnsi" w:cstheme="majorHAnsi"/>
                <w:b/>
                <w:sz w:val="24"/>
                <w:szCs w:val="24"/>
              </w:rPr>
              <w:tab/>
            </w:r>
            <w:r w:rsidRPr="007D7C58">
              <w:rPr>
                <w:rFonts w:asciiTheme="majorHAnsi" w:hAnsiTheme="majorHAnsi" w:cstheme="majorHAnsi"/>
                <w:b/>
                <w:bCs/>
                <w:sz w:val="24"/>
                <w:szCs w:val="24"/>
              </w:rPr>
              <w:t xml:space="preserve">Replacement of obsolete and broken audiovisual equipment and systems with industry standard technology, hardware, and software; and integration of the new systems and equipment with existing installed AV and AV control </w:t>
            </w:r>
            <w:r w:rsidR="00012E2B">
              <w:rPr>
                <w:rFonts w:asciiTheme="majorHAnsi" w:hAnsiTheme="majorHAnsi" w:cstheme="majorHAnsi"/>
                <w:b/>
                <w:bCs/>
                <w:sz w:val="24"/>
                <w:szCs w:val="24"/>
              </w:rPr>
              <w:t>system.</w:t>
            </w:r>
          </w:p>
          <w:p w:rsidR="008D05D6" w:rsidRPr="005C7E37" w:rsidRDefault="008D05D6" w:rsidP="008D05D6">
            <w:pPr>
              <w:pStyle w:val="CommentText"/>
              <w:tabs>
                <w:tab w:val="left" w:pos="1530"/>
              </w:tabs>
              <w:ind w:right="252"/>
              <w:jc w:val="both"/>
              <w:rPr>
                <w:sz w:val="24"/>
                <w:szCs w:val="24"/>
              </w:rPr>
            </w:pPr>
          </w:p>
          <w:p w:rsidR="008D05D6" w:rsidRPr="005C7E37" w:rsidRDefault="008D05D6" w:rsidP="00012E2B">
            <w:pPr>
              <w:pStyle w:val="CommentText"/>
              <w:tabs>
                <w:tab w:val="left" w:pos="2340"/>
              </w:tabs>
              <w:ind w:left="2340" w:right="252" w:hanging="234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r w:rsidR="006E2CE3" w:rsidRPr="006E2CE3">
              <w:rPr>
                <w:rFonts w:asciiTheme="majorHAnsi" w:hAnsiTheme="majorHAnsi" w:cstheme="majorHAnsi"/>
                <w:b/>
                <w:sz w:val="24"/>
                <w:szCs w:val="24"/>
              </w:rPr>
              <w:t>Audio Video Systems Modifications and Integration Services</w:t>
            </w:r>
          </w:p>
          <w:p w:rsidR="008D05D6" w:rsidRPr="005C7E37" w:rsidRDefault="008D05D6" w:rsidP="008D05D6">
            <w:pPr>
              <w:pStyle w:val="CommentText"/>
              <w:tabs>
                <w:tab w:val="left" w:pos="2610"/>
              </w:tabs>
              <w:ind w:left="2610" w:right="252" w:hanging="2610"/>
              <w:rPr>
                <w:rFonts w:asciiTheme="majorHAnsi" w:hAnsiTheme="majorHAnsi" w:cstheme="majorHAnsi"/>
                <w:b/>
                <w:sz w:val="24"/>
                <w:szCs w:val="24"/>
              </w:rPr>
            </w:pPr>
          </w:p>
          <w:p w:rsidR="008D05D6" w:rsidRPr="005C7E37" w:rsidRDefault="008D05D6" w:rsidP="00012E2B">
            <w:pPr>
              <w:pStyle w:val="CommentText"/>
              <w:tabs>
                <w:tab w:val="left" w:pos="2340"/>
              </w:tabs>
              <w:ind w:left="2340" w:right="252" w:hanging="234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sidR="007D7C58" w:rsidRPr="007D7C58">
              <w:rPr>
                <w:rFonts w:asciiTheme="majorHAnsi" w:hAnsiTheme="majorHAnsi" w:cstheme="majorHAnsi"/>
                <w:b/>
                <w:sz w:val="24"/>
                <w:szCs w:val="24"/>
              </w:rPr>
              <w:t>CJER 05-13-RB</w:t>
            </w:r>
          </w:p>
          <w:p w:rsidR="008D05D6" w:rsidRPr="005C7E37" w:rsidRDefault="008D05D6" w:rsidP="008D05D6">
            <w:pPr>
              <w:pStyle w:val="CommentText"/>
              <w:tabs>
                <w:tab w:val="left" w:pos="1530"/>
              </w:tabs>
              <w:ind w:right="252"/>
              <w:jc w:val="both"/>
              <w:rPr>
                <w:rFonts w:asciiTheme="majorHAnsi" w:hAnsiTheme="majorHAnsi" w:cstheme="majorHAnsi"/>
                <w:sz w:val="24"/>
                <w:szCs w:val="24"/>
              </w:rPr>
            </w:pPr>
          </w:p>
          <w:p w:rsidR="008D05D6" w:rsidRPr="005C7E37" w:rsidRDefault="008D05D6" w:rsidP="00012E2B">
            <w:pPr>
              <w:pStyle w:val="CommentText"/>
              <w:tabs>
                <w:tab w:val="left" w:pos="2340"/>
              </w:tabs>
              <w:ind w:left="2340" w:right="252" w:hanging="2340"/>
              <w:rPr>
                <w:rFonts w:asciiTheme="majorHAnsi" w:hAnsiTheme="majorHAnsi"/>
                <w:b/>
                <w:sz w:val="24"/>
              </w:rPr>
            </w:pPr>
            <w:r w:rsidRPr="005C7E37">
              <w:rPr>
                <w:rFonts w:asciiTheme="majorHAnsi" w:hAnsiTheme="majorHAnsi" w:cstheme="majorHAnsi"/>
                <w:b/>
                <w:sz w:val="24"/>
                <w:szCs w:val="24"/>
              </w:rPr>
              <w:t>Due Date and Time:</w:t>
            </w:r>
            <w:r w:rsidRPr="005C7E37">
              <w:rPr>
                <w:rFonts w:asciiTheme="majorHAnsi" w:hAnsiTheme="majorHAnsi" w:cstheme="majorHAnsi"/>
                <w:b/>
                <w:sz w:val="24"/>
                <w:szCs w:val="24"/>
              </w:rPr>
              <w:tab/>
            </w:r>
            <w:r w:rsidR="007D7C58" w:rsidRPr="007D7C58">
              <w:rPr>
                <w:rFonts w:asciiTheme="majorHAnsi" w:hAnsiTheme="majorHAnsi" w:cstheme="majorHAnsi"/>
                <w:b/>
                <w:sz w:val="24"/>
                <w:szCs w:val="24"/>
              </w:rPr>
              <w:t>May 27, 2013 no later than 3:00 p.m. Pacific time</w:t>
            </w:r>
          </w:p>
          <w:p w:rsidR="008D05D6" w:rsidRPr="005C7E37" w:rsidRDefault="008D05D6" w:rsidP="008D05D6">
            <w:pPr>
              <w:pStyle w:val="CommentText"/>
              <w:tabs>
                <w:tab w:val="left" w:pos="1530"/>
              </w:tabs>
              <w:ind w:right="252"/>
              <w:jc w:val="both"/>
              <w:rPr>
                <w:rFonts w:asciiTheme="majorHAnsi" w:hAnsiTheme="majorHAnsi" w:cstheme="majorHAnsi"/>
                <w:sz w:val="24"/>
                <w:szCs w:val="24"/>
              </w:rPr>
            </w:pPr>
          </w:p>
          <w:p w:rsidR="008D05D6" w:rsidRPr="005C7E37" w:rsidRDefault="008D05D6" w:rsidP="008D05D6">
            <w:pPr>
              <w:pStyle w:val="CommentText"/>
              <w:tabs>
                <w:tab w:val="left" w:pos="1530"/>
              </w:tabs>
              <w:ind w:right="252"/>
              <w:jc w:val="both"/>
              <w:rPr>
                <w:rFonts w:ascii="Arial" w:hAnsi="Arial"/>
                <w:b/>
                <w:sz w:val="36"/>
              </w:rPr>
            </w:pPr>
          </w:p>
        </w:tc>
      </w:tr>
    </w:tbl>
    <w:p w:rsidR="008D05D6" w:rsidRPr="005C7E37" w:rsidRDefault="008D05D6" w:rsidP="008D05D6">
      <w:pPr>
        <w:pStyle w:val="Header"/>
        <w:tabs>
          <w:tab w:val="clear" w:pos="4320"/>
          <w:tab w:val="clear" w:pos="8640"/>
          <w:tab w:val="left" w:pos="2220"/>
        </w:tabs>
        <w:autoSpaceDE w:val="0"/>
        <w:autoSpaceDN w:val="0"/>
        <w:adjustRightInd w:val="0"/>
        <w:rPr>
          <w:rFonts w:ascii="Arial" w:hAnsi="Arial" w:cs="Arial"/>
          <w:b/>
          <w:bCs/>
        </w:rPr>
      </w:pPr>
      <w:r w:rsidRPr="005C7E37">
        <w:rPr>
          <w:rFonts w:ascii="Arial" w:hAnsi="Arial" w:cs="Arial"/>
        </w:rPr>
        <w:br/>
      </w:r>
    </w:p>
    <w:p w:rsidR="008D05D6" w:rsidRPr="005C7E37" w:rsidRDefault="008D05D6" w:rsidP="008D05D6">
      <w:pPr>
        <w:jc w:val="center"/>
        <w:rPr>
          <w:b/>
          <w:bCs/>
          <w:sz w:val="26"/>
          <w:szCs w:val="26"/>
        </w:r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2108C3" w:rsidRPr="00677FC3" w:rsidRDefault="002108C3" w:rsidP="002108C3">
      <w:pPr>
        <w:pStyle w:val="ListParagraph"/>
        <w:keepNext/>
        <w:numPr>
          <w:ilvl w:val="1"/>
          <w:numId w:val="13"/>
        </w:numPr>
        <w:rPr>
          <w:i/>
        </w:rPr>
      </w:pPr>
      <w:r w:rsidRPr="002108C3">
        <w:rPr>
          <w:bCs/>
        </w:rPr>
        <w:t>The Judicial Council of California (“Judicial Council”</w:t>
      </w:r>
      <w:r w:rsidR="00F50243">
        <w:rPr>
          <w:bCs/>
        </w:rPr>
        <w:t xml:space="preserve"> or “Council”</w:t>
      </w:r>
      <w:r w:rsidRPr="002108C3">
        <w:rPr>
          <w:bCs/>
        </w:rPr>
        <w:t xml:space="preserve">), chaired by the Chief Justice of California, is the chief policy making agency of the California judicial system, and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 comprised of </w:t>
      </w:r>
      <w:r w:rsidR="00764211">
        <w:rPr>
          <w:bCs/>
        </w:rPr>
        <w:t>thirty-three (33</w:t>
      </w:r>
      <w:r w:rsidRPr="002108C3">
        <w:rPr>
          <w:bCs/>
        </w:rPr>
        <w:t>) members representing the judicial system as well as the State Bar and both houses of the State Legislature.</w:t>
      </w:r>
    </w:p>
    <w:p w:rsidR="007B4D29" w:rsidRDefault="007B4D29">
      <w:pPr>
        <w:pStyle w:val="ListParagraph"/>
        <w:keepNext/>
        <w:ind w:left="1080"/>
        <w:rPr>
          <w:i/>
        </w:rPr>
      </w:pPr>
    </w:p>
    <w:p w:rsidR="00677FC3" w:rsidRPr="002108C3" w:rsidRDefault="00677FC3" w:rsidP="002108C3">
      <w:pPr>
        <w:pStyle w:val="ListParagraph"/>
        <w:keepNext/>
        <w:numPr>
          <w:ilvl w:val="1"/>
          <w:numId w:val="13"/>
        </w:numPr>
        <w:rPr>
          <w:i/>
        </w:rPr>
      </w:pPr>
      <w:r w:rsidRPr="007B2785">
        <w:rPr>
          <w:bCs/>
        </w:rPr>
        <w:t xml:space="preserve">The Administrative Office of the Courts (“AOC”) is the staff agency for the Judicial Council, and assists both the Judicial Council and its chair in performing their duties.  The AOC is located in San Francisco.  </w:t>
      </w:r>
      <w:r w:rsidR="00190A55">
        <w:t>The Education Office of the AOC manages the audio-visual technical infrastructure and systems in the Judicial Branch offices within the San Francisco Civic Center Complex</w:t>
      </w:r>
      <w:r w:rsidRPr="007B2785">
        <w:rPr>
          <w:bCs/>
        </w:rPr>
        <w:t xml:space="preserve">.  </w:t>
      </w:r>
    </w:p>
    <w:p w:rsidR="00F50243" w:rsidRDefault="00F50243" w:rsidP="00F50243">
      <w:pPr>
        <w:pStyle w:val="ListParagraph"/>
      </w:pPr>
    </w:p>
    <w:p w:rsidR="00F50243" w:rsidRPr="00F50243" w:rsidRDefault="00F50243" w:rsidP="002108C3">
      <w:pPr>
        <w:pStyle w:val="ListParagraph"/>
        <w:keepNext/>
        <w:numPr>
          <w:ilvl w:val="1"/>
          <w:numId w:val="13"/>
        </w:numPr>
      </w:pPr>
      <w:r>
        <w:rPr>
          <w:bCs/>
        </w:rPr>
        <w:t>I</w:t>
      </w:r>
      <w:r w:rsidRPr="007B2785">
        <w:rPr>
          <w:bCs/>
        </w:rPr>
        <w:t>ntegrated audio-visual</w:t>
      </w:r>
      <w:r w:rsidR="00764211">
        <w:rPr>
          <w:bCs/>
        </w:rPr>
        <w:t xml:space="preserve"> (“AV”)</w:t>
      </w:r>
      <w:r w:rsidRPr="007B2785">
        <w:rPr>
          <w:bCs/>
        </w:rPr>
        <w:t xml:space="preserve"> systems and equipment</w:t>
      </w:r>
      <w:r>
        <w:rPr>
          <w:bCs/>
        </w:rPr>
        <w:t xml:space="preserve"> exist</w:t>
      </w:r>
      <w:r w:rsidR="000262FE">
        <w:rPr>
          <w:bCs/>
        </w:rPr>
        <w:t>s</w:t>
      </w:r>
      <w:r w:rsidRPr="007B2785">
        <w:rPr>
          <w:bCs/>
        </w:rPr>
        <w:t xml:space="preserve"> in </w:t>
      </w:r>
      <w:r>
        <w:rPr>
          <w:bCs/>
        </w:rPr>
        <w:t>two (2</w:t>
      </w:r>
      <w:r w:rsidRPr="007B2785">
        <w:rPr>
          <w:bCs/>
        </w:rPr>
        <w:t xml:space="preserve">) </w:t>
      </w:r>
      <w:r>
        <w:rPr>
          <w:bCs/>
        </w:rPr>
        <w:t>sites within the civic center complex in San Francisco</w:t>
      </w:r>
      <w:r w:rsidRPr="007B2785">
        <w:rPr>
          <w:bCs/>
        </w:rPr>
        <w:t xml:space="preserve">: </w:t>
      </w:r>
      <w:r>
        <w:rPr>
          <w:b/>
          <w:bCs/>
        </w:rPr>
        <w:t>Judicial Council of California Boardroom</w:t>
      </w:r>
      <w:r w:rsidRPr="007B2785">
        <w:rPr>
          <w:b/>
          <w:bCs/>
        </w:rPr>
        <w:t xml:space="preserve"> </w:t>
      </w:r>
      <w:r w:rsidRPr="007B2785">
        <w:rPr>
          <w:bCs/>
        </w:rPr>
        <w:t>(455 Golden Gate Avenue),</w:t>
      </w:r>
      <w:r w:rsidRPr="007B2785">
        <w:rPr>
          <w:b/>
          <w:bCs/>
        </w:rPr>
        <w:t xml:space="preserve"> </w:t>
      </w:r>
      <w:r>
        <w:rPr>
          <w:b/>
          <w:bCs/>
        </w:rPr>
        <w:t>Supreme Court Courtroom</w:t>
      </w:r>
      <w:r w:rsidRPr="007B2785">
        <w:rPr>
          <w:bCs/>
        </w:rPr>
        <w:t xml:space="preserve"> (</w:t>
      </w:r>
      <w:r w:rsidRPr="00F50243">
        <w:rPr>
          <w:bCs/>
        </w:rPr>
        <w:t>350 McAllister Street</w:t>
      </w:r>
      <w:r w:rsidRPr="007B2785">
        <w:rPr>
          <w:bCs/>
        </w:rPr>
        <w:t>)</w:t>
      </w:r>
      <w:r>
        <w:rPr>
          <w:bCs/>
        </w:rPr>
        <w:t>.</w:t>
      </w:r>
    </w:p>
    <w:p w:rsidR="00F50243" w:rsidRDefault="00F50243" w:rsidP="00F50243">
      <w:pPr>
        <w:pStyle w:val="ListParagraph"/>
      </w:pPr>
    </w:p>
    <w:p w:rsidR="00F50243" w:rsidRPr="00437AA0" w:rsidRDefault="00190A55" w:rsidP="002108C3">
      <w:pPr>
        <w:pStyle w:val="ListParagraph"/>
        <w:keepNext/>
        <w:numPr>
          <w:ilvl w:val="1"/>
          <w:numId w:val="13"/>
        </w:numPr>
      </w:pPr>
      <w:r>
        <w:t>The AV systems in the Judicial Council Boardroom and Supreme Court courtroom are used to provide audio reinforcement and video display for the public at meetings and oral arguments; video and audio signals for distribution to the electronic media, press and public; assistive listening for the hearing impaired; audio teleconferencing for remote presentation, courtroom recording and some ancillary court functions</w:t>
      </w:r>
      <w:r w:rsidR="00764211" w:rsidRPr="007B2785">
        <w:rPr>
          <w:bCs/>
        </w:rPr>
        <w:t>.</w:t>
      </w:r>
    </w:p>
    <w:p w:rsidR="002108C3" w:rsidRPr="002108C3" w:rsidRDefault="002108C3" w:rsidP="002108C3">
      <w:pPr>
        <w:keepNext/>
        <w:rPr>
          <w:i/>
        </w:rPr>
      </w:pPr>
    </w:p>
    <w:p w:rsidR="0088206E" w:rsidRDefault="0088206E"/>
    <w:p w:rsidR="00C37FF7" w:rsidRDefault="00EE01E4" w:rsidP="00EE01E4">
      <w:pPr>
        <w:keepNext/>
        <w:ind w:left="720" w:hanging="720"/>
        <w:rPr>
          <w:b/>
          <w:bCs/>
        </w:rPr>
      </w:pPr>
      <w:r>
        <w:rPr>
          <w:b/>
          <w:bCs/>
        </w:rPr>
        <w:t>2.0</w:t>
      </w:r>
      <w:r>
        <w:rPr>
          <w:b/>
          <w:bCs/>
        </w:rPr>
        <w:tab/>
      </w:r>
      <w:r w:rsidR="00FC4A81" w:rsidRPr="006D22AC">
        <w:rPr>
          <w:b/>
          <w:bCs/>
        </w:rPr>
        <w:t xml:space="preserve">DESCRIPTION OF </w:t>
      </w:r>
      <w:r w:rsidR="000518CD" w:rsidRPr="006D22AC">
        <w:rPr>
          <w:b/>
          <w:bCs/>
        </w:rPr>
        <w:t>GOODS AND/OR SER</w:t>
      </w:r>
      <w:r w:rsidR="009C38A6" w:rsidRPr="006D22AC">
        <w:rPr>
          <w:b/>
          <w:bCs/>
        </w:rPr>
        <w:t xml:space="preserve">VICES </w:t>
      </w:r>
    </w:p>
    <w:p w:rsidR="006D22AC" w:rsidRPr="006D22AC" w:rsidRDefault="006D22AC" w:rsidP="006D22AC">
      <w:pPr>
        <w:pStyle w:val="ListParagraph"/>
        <w:keepNext/>
        <w:ind w:left="360"/>
        <w:rPr>
          <w:b/>
          <w:bCs/>
        </w:rPr>
      </w:pPr>
    </w:p>
    <w:p w:rsidR="00DF53E9" w:rsidRDefault="006D22AC" w:rsidP="006D22AC">
      <w:pPr>
        <w:pStyle w:val="BodyTextIndent2"/>
        <w:numPr>
          <w:ilvl w:val="1"/>
          <w:numId w:val="16"/>
        </w:numPr>
        <w:spacing w:after="0" w:line="240" w:lineRule="auto"/>
        <w:rPr>
          <w:bCs/>
        </w:rPr>
      </w:pPr>
      <w:r>
        <w:t xml:space="preserve">The </w:t>
      </w:r>
      <w:r w:rsidR="003A1B30">
        <w:t>AOC</w:t>
      </w:r>
      <w:r>
        <w:t xml:space="preserve"> seeks goods and the services from an entity with expertise in</w:t>
      </w:r>
      <w:r w:rsidR="00DF53E9">
        <w:rPr>
          <w:bCs/>
        </w:rPr>
        <w:t xml:space="preserve"> professional AV /</w:t>
      </w:r>
      <w:r>
        <w:rPr>
          <w:bCs/>
        </w:rPr>
        <w:t>broadcast equipment integration</w:t>
      </w:r>
      <w:r w:rsidR="00DF53E9">
        <w:rPr>
          <w:bCs/>
        </w:rPr>
        <w:t xml:space="preserve"> and installation</w:t>
      </w:r>
      <w:r>
        <w:rPr>
          <w:bCs/>
        </w:rPr>
        <w:t xml:space="preserve"> to</w:t>
      </w:r>
      <w:r w:rsidR="00DF53E9">
        <w:rPr>
          <w:bCs/>
        </w:rPr>
        <w:t xml:space="preserve"> meet the specifications in </w:t>
      </w:r>
      <w:r w:rsidR="00990DD8" w:rsidRPr="00451C80">
        <w:rPr>
          <w:bCs/>
        </w:rPr>
        <w:t xml:space="preserve">Attachment 2 Terms and Conditions, Exhibit </w:t>
      </w:r>
      <w:r w:rsidR="00375134">
        <w:rPr>
          <w:bCs/>
        </w:rPr>
        <w:t>D</w:t>
      </w:r>
      <w:r w:rsidR="00990DD8" w:rsidRPr="00451C80">
        <w:rPr>
          <w:bCs/>
        </w:rPr>
        <w:t xml:space="preserve">, </w:t>
      </w:r>
      <w:r w:rsidR="00792747">
        <w:rPr>
          <w:bCs/>
        </w:rPr>
        <w:t xml:space="preserve">Work </w:t>
      </w:r>
      <w:proofErr w:type="gramStart"/>
      <w:r w:rsidR="00792747">
        <w:rPr>
          <w:bCs/>
        </w:rPr>
        <w:t>To</w:t>
      </w:r>
      <w:proofErr w:type="gramEnd"/>
      <w:r w:rsidR="00792747">
        <w:rPr>
          <w:bCs/>
        </w:rPr>
        <w:t xml:space="preserve"> Be Performed</w:t>
      </w:r>
      <w:r w:rsidR="003A1B30" w:rsidRPr="00451C80">
        <w:rPr>
          <w:bCs/>
        </w:rPr>
        <w:t>.</w:t>
      </w:r>
    </w:p>
    <w:p w:rsidR="00882EA2" w:rsidRDefault="00882EA2" w:rsidP="00882EA2">
      <w:pPr>
        <w:pStyle w:val="BodyTextIndent2"/>
        <w:spacing w:after="0" w:line="240" w:lineRule="auto"/>
        <w:ind w:left="1080"/>
        <w:rPr>
          <w:bCs/>
        </w:rPr>
      </w:pPr>
    </w:p>
    <w:p w:rsidR="00882EA2" w:rsidRPr="00D25B33" w:rsidRDefault="00882EA2" w:rsidP="00882EA2">
      <w:pPr>
        <w:pStyle w:val="BodyTextIndent2"/>
        <w:numPr>
          <w:ilvl w:val="1"/>
          <w:numId w:val="16"/>
        </w:numPr>
        <w:spacing w:after="0" w:line="240" w:lineRule="auto"/>
        <w:rPr>
          <w:bCs/>
        </w:rPr>
      </w:pPr>
      <w:r>
        <w:t>Proposers must</w:t>
      </w:r>
      <w:r w:rsidRPr="00FE314B">
        <w:t xml:space="preserve"> </w:t>
      </w:r>
      <w:r w:rsidR="00BB49DB">
        <w:t>bid on the complete work for</w:t>
      </w:r>
      <w:r w:rsidR="00BB49DB" w:rsidRPr="00FE314B">
        <w:t xml:space="preserve"> </w:t>
      </w:r>
      <w:r w:rsidR="00BB49DB">
        <w:t>AV systems replacement in both the</w:t>
      </w:r>
      <w:r w:rsidR="00EA5AAD" w:rsidRPr="00FE314B">
        <w:t xml:space="preserve"> </w:t>
      </w:r>
      <w:r>
        <w:t>(</w:t>
      </w:r>
      <w:r w:rsidRPr="00882EA2">
        <w:t xml:space="preserve">Judicial Council of California Boardroom </w:t>
      </w:r>
      <w:r>
        <w:t xml:space="preserve">and </w:t>
      </w:r>
      <w:r w:rsidRPr="00882EA2">
        <w:t>Supreme Court Courtroom</w:t>
      </w:r>
      <w:r>
        <w:t>)</w:t>
      </w:r>
      <w:r w:rsidRPr="00882EA2">
        <w:t xml:space="preserve"> </w:t>
      </w:r>
      <w:r w:rsidR="00375134">
        <w:t xml:space="preserve">and also </w:t>
      </w:r>
      <w:r w:rsidR="00BB49DB">
        <w:t xml:space="preserve">demonstrate in the Cost Proposal </w:t>
      </w:r>
      <w:r>
        <w:t xml:space="preserve">the </w:t>
      </w:r>
      <w:r w:rsidR="00BB49DB">
        <w:t xml:space="preserve">individual </w:t>
      </w:r>
      <w:r>
        <w:t>cost for each room</w:t>
      </w:r>
      <w:r w:rsidR="00077328">
        <w:t>.</w:t>
      </w:r>
    </w:p>
    <w:p w:rsidR="00D25B33" w:rsidRDefault="00D25B33" w:rsidP="00D25B33">
      <w:pPr>
        <w:pStyle w:val="ListParagraph"/>
        <w:rPr>
          <w:bCs/>
        </w:rPr>
      </w:pPr>
    </w:p>
    <w:p w:rsidR="00D25B33" w:rsidRPr="00077328" w:rsidRDefault="00D25B33" w:rsidP="00882EA2">
      <w:pPr>
        <w:pStyle w:val="BodyTextIndent2"/>
        <w:numPr>
          <w:ilvl w:val="1"/>
          <w:numId w:val="16"/>
        </w:numPr>
        <w:spacing w:after="0" w:line="240" w:lineRule="auto"/>
        <w:rPr>
          <w:bCs/>
        </w:rPr>
      </w:pPr>
      <w:r>
        <w:rPr>
          <w:bCs/>
        </w:rPr>
        <w:t xml:space="preserve">The estimated amount to perform all work </w:t>
      </w:r>
      <w:r w:rsidR="00030C1B">
        <w:rPr>
          <w:bCs/>
        </w:rPr>
        <w:t xml:space="preserve">and procure all </w:t>
      </w:r>
      <w:r>
        <w:rPr>
          <w:bCs/>
        </w:rPr>
        <w:t xml:space="preserve">equipment is </w:t>
      </w:r>
      <w:r w:rsidR="00030C1B">
        <w:rPr>
          <w:bCs/>
        </w:rPr>
        <w:t xml:space="preserve">between </w:t>
      </w:r>
      <w:r>
        <w:rPr>
          <w:bCs/>
        </w:rPr>
        <w:t>$3</w:t>
      </w:r>
      <w:r w:rsidR="00030C1B">
        <w:rPr>
          <w:bCs/>
        </w:rPr>
        <w:t>25</w:t>
      </w:r>
      <w:r>
        <w:rPr>
          <w:bCs/>
        </w:rPr>
        <w:t xml:space="preserve">,000 </w:t>
      </w:r>
      <w:r w:rsidR="00F07328">
        <w:rPr>
          <w:bCs/>
        </w:rPr>
        <w:t>and</w:t>
      </w:r>
      <w:r>
        <w:rPr>
          <w:bCs/>
        </w:rPr>
        <w:t xml:space="preserve"> $375,000.</w:t>
      </w:r>
    </w:p>
    <w:p w:rsidR="00882EA2" w:rsidRPr="00882EA2" w:rsidRDefault="00882EA2" w:rsidP="00882EA2">
      <w:pPr>
        <w:pStyle w:val="BodyTextIndent2"/>
        <w:spacing w:after="0" w:line="240" w:lineRule="auto"/>
        <w:ind w:left="2160"/>
        <w:rPr>
          <w:bCs/>
        </w:rPr>
      </w:pPr>
    </w:p>
    <w:p w:rsidR="006D22AC" w:rsidRDefault="006D22AC" w:rsidP="00C37FF7">
      <w:pPr>
        <w:ind w:left="720"/>
      </w:pPr>
    </w:p>
    <w:p w:rsidR="00A50B42" w:rsidRPr="00D74462" w:rsidRDefault="00AB2FC2" w:rsidP="00D25B33">
      <w:pPr>
        <w:keepNext/>
        <w:widowControl w:val="0"/>
        <w:rPr>
          <w:b/>
          <w:bCs/>
        </w:rPr>
      </w:pPr>
      <w:r>
        <w:rPr>
          <w:b/>
          <w:bCs/>
        </w:rPr>
        <w:lastRenderedPageBreak/>
        <w:t>3.0</w:t>
      </w:r>
      <w:r>
        <w:rPr>
          <w:b/>
          <w:bCs/>
        </w:rPr>
        <w:tab/>
      </w:r>
      <w:r w:rsidR="00A50B42" w:rsidRPr="00D74462">
        <w:rPr>
          <w:b/>
          <w:bCs/>
        </w:rPr>
        <w:t>TIMELINE FOR THIS RFP</w:t>
      </w:r>
    </w:p>
    <w:p w:rsidR="00A50B42" w:rsidRPr="00D74462" w:rsidRDefault="00A50B42" w:rsidP="00D25B33">
      <w:pPr>
        <w:keepNext/>
        <w:widowControl w:val="0"/>
        <w:rPr>
          <w:bCs/>
        </w:rPr>
      </w:pPr>
    </w:p>
    <w:p w:rsidR="00A569DE" w:rsidRDefault="00A50B42" w:rsidP="007E7522">
      <w:pPr>
        <w:widowControl w:val="0"/>
        <w:ind w:left="720"/>
        <w:rPr>
          <w:b/>
          <w:bCs/>
          <w:color w:val="000000"/>
        </w:rPr>
      </w:pPr>
      <w:r w:rsidRPr="00D74462">
        <w:rPr>
          <w:bCs/>
        </w:rPr>
        <w:t xml:space="preserve">The </w:t>
      </w:r>
      <w:r w:rsidR="003A1B30">
        <w:rPr>
          <w:bCs/>
        </w:rPr>
        <w:t>AOC</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3A1B30">
        <w:rPr>
          <w:bCs/>
        </w:rPr>
        <w:t>AOC</w:t>
      </w:r>
      <w:r w:rsidRPr="00D74462">
        <w:rPr>
          <w:bCs/>
        </w:rPr>
        <w:t>.</w:t>
      </w:r>
    </w:p>
    <w:p w:rsidR="007E7522" w:rsidRDefault="007E7522" w:rsidP="002E7965">
      <w:pPr>
        <w:keepNext/>
        <w:rPr>
          <w:b/>
          <w:bCs/>
          <w:color w:val="000000"/>
        </w:rPr>
      </w:pPr>
    </w:p>
    <w:tbl>
      <w:tblPr>
        <w:tblW w:w="9630" w:type="dxa"/>
        <w:jc w:val="center"/>
        <w:tblCellMar>
          <w:left w:w="0" w:type="dxa"/>
          <w:right w:w="0" w:type="dxa"/>
        </w:tblCellMar>
        <w:tblLook w:val="04A0"/>
      </w:tblPr>
      <w:tblGrid>
        <w:gridCol w:w="7020"/>
        <w:gridCol w:w="2610"/>
      </w:tblGrid>
      <w:tr w:rsidR="007E7522" w:rsidRPr="007B2785" w:rsidTr="00882EA2">
        <w:trPr>
          <w:trHeight w:val="502"/>
          <w:tblHeader/>
          <w:jc w:val="center"/>
        </w:trPr>
        <w:tc>
          <w:tcPr>
            <w:tcW w:w="702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7E7522" w:rsidRPr="007B2785" w:rsidRDefault="007E7522" w:rsidP="00882EA2">
            <w:pPr>
              <w:spacing w:line="276" w:lineRule="auto"/>
              <w:rPr>
                <w:rFonts w:eastAsiaTheme="minorHAnsi"/>
                <w:b/>
                <w:bCs/>
                <w:sz w:val="22"/>
                <w:szCs w:val="22"/>
              </w:rPr>
            </w:pPr>
            <w:r w:rsidRPr="007B2785">
              <w:rPr>
                <w:b/>
                <w:bCs/>
                <w:sz w:val="22"/>
                <w:szCs w:val="22"/>
              </w:rPr>
              <w:t>Key Events</w:t>
            </w:r>
          </w:p>
        </w:tc>
        <w:tc>
          <w:tcPr>
            <w:tcW w:w="26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E7522" w:rsidRPr="007B2785" w:rsidRDefault="007E7522" w:rsidP="00882EA2">
            <w:pPr>
              <w:spacing w:line="276" w:lineRule="auto"/>
              <w:rPr>
                <w:rFonts w:eastAsiaTheme="minorHAnsi"/>
                <w:b/>
                <w:bCs/>
                <w:sz w:val="22"/>
                <w:szCs w:val="22"/>
              </w:rPr>
            </w:pPr>
            <w:r w:rsidRPr="007B2785">
              <w:rPr>
                <w:b/>
                <w:bCs/>
                <w:sz w:val="22"/>
                <w:szCs w:val="22"/>
              </w:rPr>
              <w:t>Key Dates</w:t>
            </w:r>
          </w:p>
        </w:tc>
      </w:tr>
      <w:tr w:rsidR="007E7522" w:rsidRPr="007B2785" w:rsidTr="00882EA2">
        <w:trPr>
          <w:trHeight w:val="268"/>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7522" w:rsidRPr="007B2785" w:rsidRDefault="007E7522" w:rsidP="00882EA2">
            <w:pPr>
              <w:spacing w:line="276" w:lineRule="auto"/>
              <w:rPr>
                <w:rFonts w:eastAsiaTheme="minorHAnsi"/>
                <w:sz w:val="22"/>
                <w:szCs w:val="22"/>
              </w:rPr>
            </w:pPr>
            <w:r w:rsidRPr="007B2785">
              <w:rPr>
                <w:sz w:val="22"/>
                <w:szCs w:val="22"/>
              </w:rPr>
              <w:t>RFP issued</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E7522" w:rsidRPr="007B2785" w:rsidRDefault="007E7522" w:rsidP="004C708E">
            <w:pPr>
              <w:ind w:left="-18" w:right="-115"/>
              <w:jc w:val="center"/>
              <w:rPr>
                <w:rFonts w:eastAsiaTheme="minorHAnsi"/>
                <w:sz w:val="22"/>
                <w:szCs w:val="22"/>
              </w:rPr>
            </w:pPr>
            <w:r>
              <w:rPr>
                <w:rFonts w:eastAsiaTheme="minorHAnsi"/>
                <w:sz w:val="22"/>
                <w:szCs w:val="22"/>
              </w:rPr>
              <w:t xml:space="preserve">May </w:t>
            </w:r>
            <w:r w:rsidR="004C708E">
              <w:rPr>
                <w:rFonts w:eastAsiaTheme="minorHAnsi"/>
                <w:sz w:val="22"/>
                <w:szCs w:val="22"/>
              </w:rPr>
              <w:t>10</w:t>
            </w:r>
            <w:r w:rsidRPr="007B2785">
              <w:rPr>
                <w:rFonts w:eastAsiaTheme="minorHAnsi"/>
                <w:sz w:val="22"/>
                <w:szCs w:val="22"/>
              </w:rPr>
              <w:t>, 2013</w:t>
            </w:r>
          </w:p>
        </w:tc>
      </w:tr>
      <w:tr w:rsidR="007E7522" w:rsidRPr="007B2785" w:rsidTr="00882EA2">
        <w:trPr>
          <w:trHeight w:val="268"/>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D29" w:rsidRDefault="0038741B">
            <w:pPr>
              <w:spacing w:line="276" w:lineRule="auto"/>
              <w:rPr>
                <w:sz w:val="22"/>
                <w:szCs w:val="22"/>
              </w:rPr>
            </w:pPr>
            <w:r w:rsidRPr="0038741B">
              <w:rPr>
                <w:b/>
                <w:sz w:val="22"/>
                <w:szCs w:val="22"/>
              </w:rPr>
              <w:t>MANDATORY</w:t>
            </w:r>
            <w:r>
              <w:rPr>
                <w:sz w:val="22"/>
                <w:szCs w:val="22"/>
              </w:rPr>
              <w:t xml:space="preserve"> </w:t>
            </w:r>
            <w:r w:rsidR="00DF53E9">
              <w:rPr>
                <w:sz w:val="22"/>
                <w:szCs w:val="22"/>
              </w:rPr>
              <w:t xml:space="preserve">Pre- proposal Walkthrough of  </w:t>
            </w:r>
            <w:r w:rsidR="00DF53E9" w:rsidRPr="0038741B">
              <w:rPr>
                <w:sz w:val="22"/>
                <w:szCs w:val="22"/>
              </w:rPr>
              <w:t>2 sites (</w:t>
            </w:r>
            <w:r w:rsidR="00BB231B" w:rsidRPr="0038741B">
              <w:rPr>
                <w:i/>
                <w:sz w:val="22"/>
                <w:szCs w:val="22"/>
              </w:rPr>
              <w:t>1:00PM PDT</w:t>
            </w:r>
            <w:r w:rsidR="00DF53E9" w:rsidRPr="0038741B">
              <w:rPr>
                <w:sz w:val="22"/>
                <w:szCs w:val="22"/>
              </w:rPr>
              <w: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E7522" w:rsidRPr="007B2785" w:rsidRDefault="007E7522" w:rsidP="00BC711F">
            <w:pPr>
              <w:ind w:left="-18" w:right="-115"/>
              <w:jc w:val="center"/>
              <w:rPr>
                <w:rFonts w:eastAsiaTheme="minorHAnsi"/>
                <w:sz w:val="22"/>
                <w:szCs w:val="22"/>
              </w:rPr>
            </w:pPr>
            <w:r>
              <w:rPr>
                <w:rFonts w:eastAsiaTheme="minorHAnsi"/>
                <w:sz w:val="22"/>
                <w:szCs w:val="22"/>
              </w:rPr>
              <w:t xml:space="preserve">May </w:t>
            </w:r>
            <w:r w:rsidR="008D446D">
              <w:rPr>
                <w:rFonts w:eastAsiaTheme="minorHAnsi"/>
                <w:sz w:val="22"/>
                <w:szCs w:val="22"/>
              </w:rPr>
              <w:t>1</w:t>
            </w:r>
            <w:r w:rsidR="00BC711F">
              <w:rPr>
                <w:rFonts w:eastAsiaTheme="minorHAnsi"/>
                <w:sz w:val="22"/>
                <w:szCs w:val="22"/>
              </w:rPr>
              <w:t>6</w:t>
            </w:r>
            <w:r>
              <w:rPr>
                <w:rFonts w:eastAsiaTheme="minorHAnsi"/>
                <w:sz w:val="22"/>
                <w:szCs w:val="22"/>
              </w:rPr>
              <w:t>, 2013</w:t>
            </w:r>
          </w:p>
        </w:tc>
      </w:tr>
      <w:tr w:rsidR="007E7522" w:rsidRPr="007B2785" w:rsidTr="00882EA2">
        <w:trPr>
          <w:trHeight w:val="295"/>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7522" w:rsidRPr="007B2785" w:rsidRDefault="007E7522" w:rsidP="00882EA2">
            <w:pPr>
              <w:spacing w:before="40" w:line="276" w:lineRule="auto"/>
              <w:ind w:right="-115"/>
              <w:rPr>
                <w:rStyle w:val="CommentReference"/>
                <w:rFonts w:eastAsiaTheme="minorHAnsi"/>
                <w:sz w:val="22"/>
                <w:szCs w:val="22"/>
              </w:rPr>
            </w:pPr>
            <w:r w:rsidRPr="007B2785">
              <w:rPr>
                <w:sz w:val="22"/>
                <w:szCs w:val="22"/>
              </w:rPr>
              <w:t xml:space="preserve">Deadline for questions to </w:t>
            </w:r>
            <w:hyperlink r:id="rId9" w:history="1">
              <w:r w:rsidRPr="007B2785">
                <w:rPr>
                  <w:rStyle w:val="Hyperlink"/>
                  <w:rFonts w:eastAsiaTheme="majorEastAsia"/>
                  <w:sz w:val="22"/>
                  <w:szCs w:val="22"/>
                </w:rPr>
                <w:t>Solicitations@jud.ca.gov</w:t>
              </w:r>
            </w:hyperlink>
            <w:r w:rsidRPr="007B2785">
              <w:rPr>
                <w:sz w:val="22"/>
                <w:szCs w:val="22"/>
              </w:rPr>
              <w:t xml:space="preserve"> </w:t>
            </w:r>
            <w:r w:rsidRPr="007B2785">
              <w:rPr>
                <w:i/>
                <w:sz w:val="22"/>
                <w:szCs w:val="22"/>
              </w:rPr>
              <w:t>(</w:t>
            </w:r>
            <w:r w:rsidRPr="007B2785">
              <w:rPr>
                <w:bCs/>
                <w:i/>
                <w:sz w:val="22"/>
                <w:szCs w:val="22"/>
              </w:rPr>
              <w:t>3:00 PM, Pacific Time)</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BC711F">
            <w:pPr>
              <w:jc w:val="center"/>
              <w:rPr>
                <w:rFonts w:eastAsiaTheme="minorHAnsi"/>
                <w:sz w:val="22"/>
                <w:szCs w:val="22"/>
              </w:rPr>
            </w:pPr>
            <w:r>
              <w:rPr>
                <w:rFonts w:eastAsiaTheme="minorHAnsi"/>
                <w:sz w:val="22"/>
                <w:szCs w:val="22"/>
              </w:rPr>
              <w:t xml:space="preserve">May </w:t>
            </w:r>
            <w:r w:rsidR="00BC711F">
              <w:rPr>
                <w:rFonts w:eastAsiaTheme="minorHAnsi"/>
                <w:sz w:val="22"/>
                <w:szCs w:val="22"/>
              </w:rPr>
              <w:t>20</w:t>
            </w:r>
            <w:r w:rsidRPr="007B2785">
              <w:rPr>
                <w:rFonts w:eastAsiaTheme="minorHAnsi"/>
                <w:sz w:val="22"/>
                <w:szCs w:val="22"/>
              </w:rPr>
              <w:t>, 2013</w:t>
            </w:r>
            <w:r w:rsidRPr="007B2785">
              <w:rPr>
                <w:sz w:val="22"/>
                <w:szCs w:val="22"/>
              </w:rPr>
              <w:t xml:space="preserve"> </w:t>
            </w:r>
          </w:p>
        </w:tc>
      </w:tr>
      <w:tr w:rsidR="007E7522" w:rsidRPr="007B2785" w:rsidTr="00882EA2">
        <w:trPr>
          <w:trHeight w:val="295"/>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ind w:right="-108"/>
              <w:rPr>
                <w:rFonts w:eastAsiaTheme="minorHAnsi"/>
                <w:sz w:val="22"/>
                <w:szCs w:val="22"/>
              </w:rPr>
            </w:pPr>
            <w:r w:rsidRPr="007B2785">
              <w:rPr>
                <w:sz w:val="22"/>
                <w:szCs w:val="22"/>
              </w:rPr>
              <w:t xml:space="preserve">Questions and answers posted at </w:t>
            </w:r>
            <w:hyperlink r:id="rId10" w:history="1">
              <w:r w:rsidRPr="007B2785">
                <w:rPr>
                  <w:rStyle w:val="Hyperlink"/>
                  <w:rFonts w:eastAsiaTheme="minorEastAsia"/>
                  <w:sz w:val="22"/>
                  <w:szCs w:val="22"/>
                </w:rPr>
                <w:t>www.courts.ca.gov/rfps.htm</w:t>
              </w:r>
            </w:hyperlink>
            <w:r w:rsidRPr="007B2785">
              <w:rPr>
                <w:rStyle w:val="CommentReference"/>
                <w:rFonts w:eastAsiaTheme="majorEastAsia"/>
                <w:i/>
                <w:iCs/>
                <w:sz w:val="22"/>
                <w:szCs w:val="22"/>
              </w:rPr>
              <w:t xml:space="preserve"> (estimate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BC711F">
            <w:pPr>
              <w:jc w:val="center"/>
              <w:rPr>
                <w:rFonts w:eastAsiaTheme="minorHAnsi"/>
                <w:sz w:val="22"/>
                <w:szCs w:val="22"/>
              </w:rPr>
            </w:pPr>
            <w:r>
              <w:rPr>
                <w:sz w:val="22"/>
                <w:szCs w:val="22"/>
              </w:rPr>
              <w:t xml:space="preserve">May </w:t>
            </w:r>
            <w:r w:rsidR="00BC711F">
              <w:rPr>
                <w:sz w:val="22"/>
                <w:szCs w:val="22"/>
              </w:rPr>
              <w:t>22</w:t>
            </w:r>
            <w:r w:rsidRPr="007B2785">
              <w:rPr>
                <w:sz w:val="22"/>
                <w:szCs w:val="22"/>
              </w:rPr>
              <w:t>, 2013</w:t>
            </w:r>
          </w:p>
        </w:tc>
      </w:tr>
      <w:tr w:rsidR="007E7522" w:rsidRPr="007B2785" w:rsidTr="00882EA2">
        <w:trPr>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rFonts w:eastAsiaTheme="minorHAnsi"/>
                <w:sz w:val="22"/>
                <w:szCs w:val="22"/>
              </w:rPr>
            </w:pPr>
            <w:r w:rsidRPr="007B2785">
              <w:rPr>
                <w:sz w:val="22"/>
                <w:szCs w:val="22"/>
              </w:rPr>
              <w:t xml:space="preserve">Proposer Solicitation Specifications Protest Deadline </w:t>
            </w:r>
            <w:r w:rsidR="0038741B" w:rsidRPr="007B2785">
              <w:rPr>
                <w:i/>
                <w:sz w:val="22"/>
                <w:szCs w:val="22"/>
              </w:rPr>
              <w:t>(</w:t>
            </w:r>
            <w:r w:rsidR="0038741B" w:rsidRPr="007B2785">
              <w:rPr>
                <w:bCs/>
                <w:i/>
                <w:sz w:val="22"/>
                <w:szCs w:val="22"/>
              </w:rPr>
              <w:t>3:00 PM, Pacific Time</w:t>
            </w:r>
            <w:r w:rsidR="0038741B" w:rsidRPr="007B2785">
              <w:rPr>
                <w:i/>
                <w:sz w:val="22"/>
                <w:szCs w:val="22"/>
              </w:rPr>
              <w:t>)</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5676" w:rsidRDefault="007E7522">
            <w:pPr>
              <w:jc w:val="center"/>
              <w:rPr>
                <w:rFonts w:eastAsiaTheme="minorHAnsi"/>
                <w:sz w:val="22"/>
                <w:szCs w:val="22"/>
              </w:rPr>
            </w:pPr>
            <w:r>
              <w:rPr>
                <w:sz w:val="22"/>
                <w:szCs w:val="22"/>
              </w:rPr>
              <w:t xml:space="preserve">May </w:t>
            </w:r>
            <w:r w:rsidR="000F0270">
              <w:rPr>
                <w:sz w:val="22"/>
                <w:szCs w:val="22"/>
              </w:rPr>
              <w:t>2</w:t>
            </w:r>
            <w:r w:rsidR="00BB73A8">
              <w:rPr>
                <w:sz w:val="22"/>
                <w:szCs w:val="22"/>
              </w:rPr>
              <w:t>8</w:t>
            </w:r>
            <w:r w:rsidRPr="007B2785">
              <w:rPr>
                <w:sz w:val="22"/>
                <w:szCs w:val="22"/>
              </w:rPr>
              <w:t>, 2013</w:t>
            </w:r>
          </w:p>
        </w:tc>
      </w:tr>
      <w:tr w:rsidR="007E7522" w:rsidRPr="007B2785" w:rsidTr="00882EA2">
        <w:trPr>
          <w:trHeight w:val="304"/>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rFonts w:eastAsiaTheme="minorHAnsi"/>
                <w:sz w:val="22"/>
                <w:szCs w:val="22"/>
              </w:rPr>
            </w:pPr>
            <w:r w:rsidRPr="007B2785">
              <w:rPr>
                <w:sz w:val="22"/>
                <w:szCs w:val="22"/>
              </w:rPr>
              <w:t xml:space="preserve">Latest date and time proposal may be submitted </w:t>
            </w:r>
            <w:r w:rsidRPr="007B2785">
              <w:rPr>
                <w:i/>
                <w:sz w:val="22"/>
                <w:szCs w:val="22"/>
              </w:rPr>
              <w:t>(</w:t>
            </w:r>
            <w:r w:rsidRPr="007B2785">
              <w:rPr>
                <w:bCs/>
                <w:i/>
                <w:sz w:val="22"/>
                <w:szCs w:val="22"/>
              </w:rPr>
              <w:t>3:00 PM, Pacific Time</w:t>
            </w:r>
            <w:r w:rsidRPr="007B2785">
              <w:rPr>
                <w:i/>
                <w:sz w:val="22"/>
                <w:szCs w:val="22"/>
              </w:rPr>
              <w:t>)</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5676" w:rsidRDefault="007E7522">
            <w:pPr>
              <w:jc w:val="center"/>
              <w:rPr>
                <w:rFonts w:eastAsiaTheme="minorHAnsi"/>
                <w:sz w:val="22"/>
                <w:szCs w:val="22"/>
              </w:rPr>
            </w:pPr>
            <w:r>
              <w:rPr>
                <w:sz w:val="22"/>
                <w:szCs w:val="22"/>
              </w:rPr>
              <w:t xml:space="preserve">May </w:t>
            </w:r>
            <w:r w:rsidR="000F0270">
              <w:rPr>
                <w:sz w:val="22"/>
                <w:szCs w:val="22"/>
              </w:rPr>
              <w:t>2</w:t>
            </w:r>
            <w:r w:rsidR="00BB73A8">
              <w:rPr>
                <w:sz w:val="22"/>
                <w:szCs w:val="22"/>
              </w:rPr>
              <w:t>8</w:t>
            </w:r>
            <w:r w:rsidRPr="007B2785">
              <w:rPr>
                <w:sz w:val="22"/>
                <w:szCs w:val="22"/>
              </w:rPr>
              <w:t>, 2013</w:t>
            </w:r>
          </w:p>
        </w:tc>
      </w:tr>
      <w:tr w:rsidR="007E7522" w:rsidRPr="007B2785" w:rsidTr="00882EA2">
        <w:trPr>
          <w:trHeight w:val="340"/>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7522" w:rsidRPr="007B2785" w:rsidRDefault="00375134" w:rsidP="00375134">
            <w:pPr>
              <w:rPr>
                <w:rFonts w:eastAsiaTheme="minorEastAsia"/>
                <w:sz w:val="22"/>
                <w:szCs w:val="22"/>
              </w:rPr>
            </w:pPr>
            <w:r>
              <w:rPr>
                <w:rFonts w:eastAsiaTheme="minorEastAsia"/>
                <w:sz w:val="22"/>
                <w:szCs w:val="22"/>
              </w:rPr>
              <w:t>E</w:t>
            </w:r>
            <w:r w:rsidR="007E7522" w:rsidRPr="007B2785">
              <w:rPr>
                <w:rFonts w:eastAsiaTheme="minorEastAsia"/>
                <w:sz w:val="22"/>
                <w:szCs w:val="22"/>
              </w:rPr>
              <w:t xml:space="preserve">valuation of non-cost </w:t>
            </w:r>
            <w:r>
              <w:rPr>
                <w:rFonts w:eastAsiaTheme="minorEastAsia"/>
                <w:sz w:val="22"/>
                <w:szCs w:val="22"/>
              </w:rPr>
              <w:t xml:space="preserve">portion of </w:t>
            </w:r>
            <w:r w:rsidR="007E7522" w:rsidRPr="007B2785">
              <w:rPr>
                <w:rFonts w:eastAsiaTheme="minorEastAsia"/>
                <w:sz w:val="22"/>
                <w:szCs w:val="22"/>
              </w:rPr>
              <w:t>proposals </w:t>
            </w:r>
            <w:r w:rsidR="007E7522" w:rsidRPr="007B2785">
              <w:rPr>
                <w:rFonts w:eastAsiaTheme="minorEastAsia"/>
                <w:i/>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B5676" w:rsidRDefault="007E7522">
            <w:pPr>
              <w:ind w:left="-108" w:right="-108"/>
              <w:jc w:val="center"/>
              <w:rPr>
                <w:rFonts w:eastAsiaTheme="minorEastAsia"/>
                <w:sz w:val="22"/>
                <w:szCs w:val="22"/>
              </w:rPr>
            </w:pPr>
            <w:r>
              <w:rPr>
                <w:rFonts w:eastAsiaTheme="minorEastAsia"/>
                <w:sz w:val="22"/>
                <w:szCs w:val="22"/>
              </w:rPr>
              <w:t xml:space="preserve">May </w:t>
            </w:r>
            <w:r w:rsidR="00BB73A8">
              <w:rPr>
                <w:rFonts w:eastAsiaTheme="minorEastAsia"/>
                <w:sz w:val="22"/>
                <w:szCs w:val="22"/>
              </w:rPr>
              <w:t>29</w:t>
            </w:r>
            <w:r w:rsidR="00BB73A8" w:rsidRPr="007B2785">
              <w:rPr>
                <w:rFonts w:eastAsiaTheme="minorEastAsia"/>
                <w:sz w:val="22"/>
                <w:szCs w:val="22"/>
              </w:rPr>
              <w:t xml:space="preserve"> </w:t>
            </w:r>
            <w:r>
              <w:rPr>
                <w:rFonts w:eastAsiaTheme="minorEastAsia"/>
                <w:sz w:val="22"/>
                <w:szCs w:val="22"/>
              </w:rPr>
              <w:t xml:space="preserve">through May </w:t>
            </w:r>
            <w:r w:rsidR="00BB73A8">
              <w:rPr>
                <w:rFonts w:eastAsiaTheme="minorEastAsia"/>
                <w:sz w:val="22"/>
                <w:szCs w:val="22"/>
              </w:rPr>
              <w:t>30</w:t>
            </w:r>
            <w:r>
              <w:rPr>
                <w:rFonts w:eastAsiaTheme="minorEastAsia"/>
                <w:sz w:val="22"/>
                <w:szCs w:val="22"/>
              </w:rPr>
              <w:t>,</w:t>
            </w:r>
            <w:r w:rsidRPr="007B2785">
              <w:rPr>
                <w:rFonts w:eastAsiaTheme="minorEastAsia"/>
                <w:sz w:val="22"/>
                <w:szCs w:val="22"/>
              </w:rPr>
              <w:t xml:space="preserve"> 2013 </w:t>
            </w:r>
          </w:p>
        </w:tc>
      </w:tr>
      <w:tr w:rsidR="007E7522" w:rsidRPr="007B2785" w:rsidTr="00882EA2">
        <w:trPr>
          <w:trHeight w:val="340"/>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rPr>
                <w:rFonts w:eastAsiaTheme="minorEastAsia"/>
                <w:sz w:val="22"/>
                <w:szCs w:val="22"/>
              </w:rPr>
            </w:pPr>
            <w:r w:rsidRPr="007B2785">
              <w:rPr>
                <w:rFonts w:eastAsiaTheme="minorEastAsia"/>
                <w:sz w:val="22"/>
                <w:szCs w:val="22"/>
              </w:rPr>
              <w:t xml:space="preserve">Non-cost proposal scores per Proposer posted at </w:t>
            </w:r>
            <w:hyperlink r:id="rId11" w:history="1">
              <w:r w:rsidRPr="007B2785">
                <w:rPr>
                  <w:rStyle w:val="Hyperlink"/>
                  <w:rFonts w:eastAsiaTheme="minorEastAsia"/>
                  <w:sz w:val="22"/>
                  <w:szCs w:val="22"/>
                </w:rPr>
                <w:t>www.courts.ca.gov/rfps.htm</w:t>
              </w:r>
            </w:hyperlink>
            <w:r w:rsidRPr="007B2785">
              <w:rPr>
                <w:rFonts w:eastAsiaTheme="minorEastAsia"/>
                <w:sz w:val="22"/>
                <w:szCs w:val="22"/>
              </w:rPr>
              <w:t xml:space="preserve"> </w:t>
            </w:r>
            <w:r w:rsidRPr="007B2785">
              <w:rPr>
                <w:rStyle w:val="CommentReference"/>
                <w:rFonts w:eastAsiaTheme="minorEastAsia"/>
                <w:i/>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B5676" w:rsidRDefault="007E7522">
            <w:pPr>
              <w:jc w:val="center"/>
              <w:rPr>
                <w:rFonts w:eastAsiaTheme="minorEastAsia"/>
                <w:sz w:val="22"/>
                <w:szCs w:val="22"/>
              </w:rPr>
            </w:pPr>
            <w:r>
              <w:rPr>
                <w:rFonts w:eastAsiaTheme="minorEastAsia"/>
                <w:sz w:val="22"/>
                <w:szCs w:val="22"/>
              </w:rPr>
              <w:t xml:space="preserve">May </w:t>
            </w:r>
            <w:r w:rsidR="00BB73A8">
              <w:rPr>
                <w:rFonts w:eastAsiaTheme="minorEastAsia"/>
                <w:sz w:val="22"/>
                <w:szCs w:val="22"/>
              </w:rPr>
              <w:t>31</w:t>
            </w:r>
            <w:r w:rsidRPr="007B2785">
              <w:rPr>
                <w:rFonts w:eastAsiaTheme="minorEastAsia"/>
                <w:sz w:val="22"/>
                <w:szCs w:val="22"/>
              </w:rPr>
              <w:t>, 2013</w:t>
            </w:r>
          </w:p>
        </w:tc>
      </w:tr>
      <w:tr w:rsidR="007E7522" w:rsidRPr="007B2785" w:rsidTr="00882EA2">
        <w:trPr>
          <w:trHeight w:val="340"/>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375134">
            <w:pPr>
              <w:rPr>
                <w:rFonts w:eastAsiaTheme="minorEastAsia"/>
                <w:sz w:val="22"/>
                <w:szCs w:val="22"/>
              </w:rPr>
            </w:pPr>
            <w:r w:rsidRPr="007B2785">
              <w:rPr>
                <w:rFonts w:eastAsiaTheme="minorEastAsia"/>
                <w:sz w:val="22"/>
                <w:szCs w:val="22"/>
              </w:rPr>
              <w:t>Public opening of cost p</w:t>
            </w:r>
            <w:r w:rsidR="00375134">
              <w:rPr>
                <w:rFonts w:eastAsiaTheme="minorEastAsia"/>
                <w:sz w:val="22"/>
                <w:szCs w:val="22"/>
              </w:rPr>
              <w:t xml:space="preserve">ortion of proposals.  Notice of </w:t>
            </w:r>
            <w:r w:rsidRPr="007B2785">
              <w:rPr>
                <w:rFonts w:eastAsiaTheme="minorEastAsia"/>
                <w:sz w:val="22"/>
                <w:szCs w:val="22"/>
              </w:rPr>
              <w:t xml:space="preserve">date, time and location to be posted at </w:t>
            </w:r>
            <w:hyperlink r:id="rId12" w:history="1">
              <w:r w:rsidRPr="007B2785">
                <w:rPr>
                  <w:rStyle w:val="Hyperlink"/>
                  <w:rFonts w:eastAsiaTheme="minorEastAsia"/>
                  <w:sz w:val="22"/>
                  <w:szCs w:val="22"/>
                </w:rPr>
                <w:t>www.courts.ca.gov/rfps.htm</w:t>
              </w:r>
            </w:hyperlink>
            <w:r w:rsidR="00375134">
              <w:rPr>
                <w:rFonts w:eastAsiaTheme="minorEastAsia"/>
                <w:sz w:val="22"/>
                <w:szCs w:val="22"/>
              </w:rPr>
              <w:t xml:space="preserve">. </w:t>
            </w:r>
            <w:r w:rsidR="00375134" w:rsidRPr="00375134">
              <w:rPr>
                <w:rFonts w:eastAsiaTheme="minorEastAsia"/>
                <w:i/>
                <w:sz w:val="22"/>
                <w:szCs w:val="22"/>
              </w:rPr>
              <w:t>(est</w:t>
            </w:r>
            <w:r w:rsidR="00375134">
              <w:rPr>
                <w:rFonts w:eastAsiaTheme="minorEastAsia"/>
                <w:i/>
                <w:sz w:val="22"/>
                <w:szCs w:val="22"/>
              </w:rPr>
              <w:t>i</w:t>
            </w:r>
            <w:r w:rsidR="00375134" w:rsidRPr="00375134">
              <w:rPr>
                <w:rFonts w:eastAsiaTheme="minorEastAsia"/>
                <w:i/>
                <w:sz w:val="22"/>
                <w:szCs w:val="22"/>
              </w:rPr>
              <w:t>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E7522" w:rsidRPr="007B2785" w:rsidRDefault="007E7522" w:rsidP="00882EA2">
            <w:pPr>
              <w:jc w:val="center"/>
              <w:rPr>
                <w:rFonts w:eastAsiaTheme="minorEastAsia"/>
                <w:sz w:val="22"/>
                <w:szCs w:val="22"/>
              </w:rPr>
            </w:pPr>
            <w:r>
              <w:rPr>
                <w:rFonts w:eastAsiaTheme="minorEastAsia"/>
                <w:sz w:val="22"/>
                <w:szCs w:val="22"/>
              </w:rPr>
              <w:t>May 31</w:t>
            </w:r>
            <w:r w:rsidRPr="007B2785">
              <w:rPr>
                <w:rFonts w:eastAsiaTheme="minorEastAsia"/>
                <w:sz w:val="22"/>
                <w:szCs w:val="22"/>
              </w:rPr>
              <w:t>, 2013</w:t>
            </w:r>
          </w:p>
        </w:tc>
      </w:tr>
      <w:tr w:rsidR="007E7522" w:rsidRPr="007B2785" w:rsidTr="00882EA2">
        <w:trPr>
          <w:trHeight w:val="205"/>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sz w:val="22"/>
                <w:szCs w:val="22"/>
              </w:rPr>
            </w:pPr>
            <w:r w:rsidRPr="007B2785">
              <w:rPr>
                <w:sz w:val="22"/>
                <w:szCs w:val="22"/>
              </w:rPr>
              <w:t xml:space="preserve">Interview period </w:t>
            </w:r>
            <w:r w:rsidRPr="007B2785">
              <w:rPr>
                <w:rStyle w:val="CommentReference"/>
                <w:rFonts w:eastAsiaTheme="majorEastAsia"/>
                <w:i/>
                <w:iCs/>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ind w:left="-129" w:right="-108"/>
              <w:jc w:val="center"/>
              <w:rPr>
                <w:rFonts w:eastAsiaTheme="minorHAnsi"/>
                <w:sz w:val="22"/>
                <w:szCs w:val="22"/>
              </w:rPr>
            </w:pPr>
            <w:r w:rsidRPr="007B2785">
              <w:rPr>
                <w:rFonts w:eastAsiaTheme="minorHAnsi"/>
                <w:sz w:val="22"/>
                <w:szCs w:val="22"/>
              </w:rPr>
              <w:t>1-2 days, if needed</w:t>
            </w:r>
          </w:p>
        </w:tc>
      </w:tr>
      <w:tr w:rsidR="007E7522" w:rsidRPr="007B2785" w:rsidTr="00882EA2">
        <w:trPr>
          <w:trHeight w:val="196"/>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7522" w:rsidRPr="007B2785" w:rsidRDefault="007E7522" w:rsidP="00882EA2">
            <w:pPr>
              <w:spacing w:line="276" w:lineRule="auto"/>
              <w:rPr>
                <w:rFonts w:eastAsiaTheme="minorHAnsi"/>
                <w:sz w:val="22"/>
                <w:szCs w:val="22"/>
              </w:rPr>
            </w:pPr>
            <w:r w:rsidRPr="007B2785">
              <w:rPr>
                <w:sz w:val="22"/>
                <w:szCs w:val="22"/>
              </w:rPr>
              <w:t xml:space="preserve">Notice of Intent to Award </w:t>
            </w:r>
            <w:r w:rsidRPr="007B2785">
              <w:rPr>
                <w:rStyle w:val="CommentReference"/>
                <w:rFonts w:eastAsiaTheme="majorEastAsia"/>
                <w:i/>
                <w:iCs/>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ind w:left="-130" w:right="-115"/>
              <w:jc w:val="center"/>
              <w:rPr>
                <w:rFonts w:eastAsiaTheme="minorHAnsi"/>
                <w:sz w:val="22"/>
                <w:szCs w:val="22"/>
              </w:rPr>
            </w:pPr>
            <w:r>
              <w:rPr>
                <w:rFonts w:eastAsiaTheme="minorHAnsi"/>
                <w:sz w:val="22"/>
                <w:szCs w:val="22"/>
              </w:rPr>
              <w:t>June 7</w:t>
            </w:r>
            <w:r w:rsidRPr="007B2785">
              <w:rPr>
                <w:rFonts w:eastAsiaTheme="minorHAnsi"/>
                <w:sz w:val="22"/>
                <w:szCs w:val="22"/>
              </w:rPr>
              <w:t xml:space="preserve">, 2013 </w:t>
            </w:r>
          </w:p>
        </w:tc>
      </w:tr>
      <w:tr w:rsidR="007E7522" w:rsidRPr="007B2785" w:rsidTr="00882EA2">
        <w:trPr>
          <w:trHeight w:val="304"/>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rFonts w:eastAsiaTheme="minorHAnsi"/>
                <w:sz w:val="22"/>
                <w:szCs w:val="22"/>
              </w:rPr>
            </w:pPr>
            <w:r w:rsidRPr="007B2785">
              <w:rPr>
                <w:sz w:val="22"/>
                <w:szCs w:val="22"/>
              </w:rPr>
              <w:t>Negotiations and execution of contract </w:t>
            </w:r>
            <w:r w:rsidRPr="007B2785">
              <w:rPr>
                <w:rStyle w:val="CommentReference"/>
                <w:rFonts w:eastAsiaTheme="majorEastAsia"/>
                <w:i/>
                <w:iCs/>
                <w:sz w:val="22"/>
                <w:szCs w:val="22"/>
              </w:rPr>
              <w:t>(estimate only)</w:t>
            </w:r>
            <w:r w:rsidRPr="007B2785">
              <w:rPr>
                <w:sz w:val="22"/>
                <w:szCs w:val="22"/>
              </w:rPr>
              <w:t xml:space="preserve"> </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jc w:val="center"/>
              <w:rPr>
                <w:rFonts w:eastAsiaTheme="minorHAnsi"/>
                <w:sz w:val="22"/>
                <w:szCs w:val="22"/>
              </w:rPr>
            </w:pPr>
            <w:r>
              <w:rPr>
                <w:rFonts w:eastAsiaTheme="minorHAnsi"/>
                <w:sz w:val="22"/>
                <w:szCs w:val="22"/>
              </w:rPr>
              <w:t>June 10</w:t>
            </w:r>
            <w:r w:rsidRPr="007B2785">
              <w:rPr>
                <w:rFonts w:eastAsiaTheme="minorHAnsi"/>
                <w:sz w:val="22"/>
                <w:szCs w:val="22"/>
              </w:rPr>
              <w:t xml:space="preserve"> - </w:t>
            </w:r>
            <w:r>
              <w:rPr>
                <w:rFonts w:eastAsiaTheme="minorHAnsi"/>
                <w:sz w:val="22"/>
                <w:szCs w:val="22"/>
              </w:rPr>
              <w:t>19</w:t>
            </w:r>
          </w:p>
        </w:tc>
      </w:tr>
      <w:tr w:rsidR="007E7522" w:rsidRPr="007B2785" w:rsidTr="00BB73A8">
        <w:trPr>
          <w:trHeight w:val="70"/>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sz w:val="22"/>
                <w:szCs w:val="22"/>
              </w:rPr>
            </w:pPr>
            <w:r w:rsidRPr="007B2785">
              <w:rPr>
                <w:sz w:val="22"/>
                <w:szCs w:val="22"/>
              </w:rPr>
              <w:t xml:space="preserve">Contract start date </w:t>
            </w:r>
            <w:r w:rsidRPr="007B2785">
              <w:rPr>
                <w:rStyle w:val="CommentReference"/>
                <w:rFonts w:eastAsiaTheme="majorEastAsia"/>
                <w:i/>
                <w:iCs/>
                <w:sz w:val="22"/>
                <w:szCs w:val="22"/>
              </w:rPr>
              <w:t xml:space="preserve">(estimate only)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E7522" w:rsidRPr="007B2785" w:rsidRDefault="007E7522" w:rsidP="00882EA2">
            <w:pPr>
              <w:jc w:val="center"/>
              <w:rPr>
                <w:rFonts w:eastAsiaTheme="minorHAnsi"/>
                <w:sz w:val="22"/>
                <w:szCs w:val="22"/>
              </w:rPr>
            </w:pPr>
            <w:r>
              <w:rPr>
                <w:rFonts w:eastAsiaTheme="minorHAnsi"/>
                <w:sz w:val="22"/>
                <w:szCs w:val="22"/>
              </w:rPr>
              <w:t>June 24</w:t>
            </w:r>
            <w:r w:rsidRPr="007B2785">
              <w:rPr>
                <w:rFonts w:eastAsiaTheme="minorHAnsi"/>
                <w:sz w:val="22"/>
                <w:szCs w:val="22"/>
              </w:rPr>
              <w:t>, 2013</w:t>
            </w:r>
          </w:p>
        </w:tc>
      </w:tr>
      <w:tr w:rsidR="007E7522" w:rsidRPr="007B2785" w:rsidTr="00882EA2">
        <w:trPr>
          <w:trHeight w:val="313"/>
          <w:jc w:val="center"/>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522" w:rsidRPr="007B2785" w:rsidRDefault="007E7522" w:rsidP="00882EA2">
            <w:pPr>
              <w:spacing w:line="276" w:lineRule="auto"/>
              <w:rPr>
                <w:sz w:val="22"/>
                <w:szCs w:val="22"/>
              </w:rPr>
            </w:pPr>
            <w:r w:rsidRPr="007B2785">
              <w:rPr>
                <w:sz w:val="22"/>
                <w:szCs w:val="22"/>
              </w:rPr>
              <w:t xml:space="preserve">Contract end date </w:t>
            </w:r>
            <w:r w:rsidRPr="007B2785">
              <w:rPr>
                <w:rStyle w:val="CommentReference"/>
                <w:i/>
                <w:sz w:val="22"/>
                <w:szCs w:val="22"/>
              </w:rPr>
              <w:t xml:space="preserve">(estimate only)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E7522" w:rsidRPr="007B2785" w:rsidRDefault="00401C02" w:rsidP="000D5415">
            <w:pPr>
              <w:jc w:val="center"/>
              <w:rPr>
                <w:rFonts w:eastAsiaTheme="minorHAnsi"/>
                <w:sz w:val="22"/>
                <w:szCs w:val="22"/>
              </w:rPr>
            </w:pPr>
            <w:r>
              <w:rPr>
                <w:rFonts w:eastAsiaTheme="minorHAnsi"/>
                <w:sz w:val="22"/>
                <w:szCs w:val="22"/>
              </w:rPr>
              <w:t>March 31</w:t>
            </w:r>
            <w:r w:rsidR="000D5415">
              <w:rPr>
                <w:rFonts w:eastAsiaTheme="minorHAnsi"/>
                <w:sz w:val="22"/>
                <w:szCs w:val="22"/>
              </w:rPr>
              <w:t>,</w:t>
            </w:r>
            <w:r w:rsidR="007E7522" w:rsidRPr="007B2785">
              <w:rPr>
                <w:rFonts w:eastAsiaTheme="minorHAnsi"/>
                <w:sz w:val="22"/>
                <w:szCs w:val="22"/>
              </w:rPr>
              <w:t xml:space="preserve"> 2014</w:t>
            </w:r>
          </w:p>
        </w:tc>
      </w:tr>
    </w:tbl>
    <w:p w:rsidR="007E7522" w:rsidRPr="0038741B" w:rsidRDefault="007E7522" w:rsidP="002E7965">
      <w:pPr>
        <w:keepNext/>
        <w:rPr>
          <w:b/>
          <w:bCs/>
          <w:color w:val="000000"/>
        </w:rPr>
      </w:pPr>
    </w:p>
    <w:p w:rsidR="007E7522" w:rsidRPr="0038741B" w:rsidRDefault="007E7522" w:rsidP="002E7965">
      <w:pPr>
        <w:keepNext/>
        <w:rPr>
          <w:b/>
          <w:bCs/>
          <w:color w:val="000000"/>
        </w:rPr>
      </w:pPr>
    </w:p>
    <w:p w:rsidR="002E7965" w:rsidRPr="0038741B" w:rsidRDefault="002E7965" w:rsidP="002E7965">
      <w:pPr>
        <w:keepNext/>
        <w:rPr>
          <w:b/>
          <w:bCs/>
          <w:color w:val="000000"/>
        </w:rPr>
      </w:pPr>
      <w:r w:rsidRPr="0038741B">
        <w:rPr>
          <w:b/>
          <w:bCs/>
          <w:color w:val="000000"/>
        </w:rPr>
        <w:t>4.0</w:t>
      </w:r>
      <w:r w:rsidRPr="0038741B">
        <w:rPr>
          <w:b/>
          <w:bCs/>
          <w:color w:val="000000"/>
        </w:rPr>
        <w:tab/>
        <w:t>RFP ATTACHMENTS</w:t>
      </w:r>
    </w:p>
    <w:p w:rsidR="002E7965" w:rsidRPr="0038741B" w:rsidRDefault="002E7965" w:rsidP="002E7965">
      <w:pPr>
        <w:keepNext/>
        <w:ind w:left="720"/>
        <w:rPr>
          <w:b/>
          <w:bCs/>
          <w:color w:val="000000"/>
        </w:rPr>
      </w:pPr>
    </w:p>
    <w:p w:rsidR="002E7965" w:rsidRPr="0038741B" w:rsidRDefault="00164E17" w:rsidP="002E7965">
      <w:pPr>
        <w:pStyle w:val="BodyTextIndent2"/>
        <w:spacing w:after="0"/>
        <w:ind w:left="720"/>
        <w:rPr>
          <w:color w:val="000000"/>
        </w:rPr>
      </w:pPr>
      <w:r w:rsidRPr="0038741B">
        <w:rPr>
          <w:color w:val="000000"/>
        </w:rPr>
        <w:t>4.1</w:t>
      </w:r>
      <w:r w:rsidRPr="0038741B">
        <w:rPr>
          <w:color w:val="000000"/>
        </w:rPr>
        <w:tab/>
      </w:r>
      <w:r w:rsidR="002E7965" w:rsidRPr="0038741B">
        <w:rPr>
          <w:color w:val="000000"/>
        </w:rPr>
        <w:t>The following attachments are included as part of this RFP:</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130"/>
      </w:tblGrid>
      <w:tr w:rsidR="009D2EA8" w:rsidRPr="0038741B" w:rsidTr="00D25B33">
        <w:trPr>
          <w:trHeight w:val="349"/>
          <w:tblHeader/>
          <w:jc w:val="right"/>
        </w:trPr>
        <w:tc>
          <w:tcPr>
            <w:tcW w:w="4068" w:type="dxa"/>
            <w:shd w:val="clear" w:color="auto" w:fill="F2F2F2" w:themeFill="background1" w:themeFillShade="F2"/>
            <w:vAlign w:val="center"/>
          </w:tcPr>
          <w:p w:rsidR="009D2EA8" w:rsidRPr="0038741B" w:rsidRDefault="009D2EA8" w:rsidP="00D25B33">
            <w:pPr>
              <w:widowControl w:val="0"/>
              <w:tabs>
                <w:tab w:val="left" w:pos="6354"/>
              </w:tabs>
              <w:ind w:right="-174"/>
              <w:rPr>
                <w:b/>
                <w:bCs/>
              </w:rPr>
            </w:pPr>
            <w:r w:rsidRPr="0038741B">
              <w:rPr>
                <w:b/>
                <w:bCs/>
              </w:rPr>
              <w:t xml:space="preserve">Attachment </w:t>
            </w:r>
          </w:p>
        </w:tc>
        <w:tc>
          <w:tcPr>
            <w:tcW w:w="5130" w:type="dxa"/>
            <w:shd w:val="clear" w:color="auto" w:fill="F2F2F2" w:themeFill="background1" w:themeFillShade="F2"/>
            <w:vAlign w:val="center"/>
          </w:tcPr>
          <w:p w:rsidR="009D2EA8" w:rsidRPr="0038741B" w:rsidRDefault="009D2EA8" w:rsidP="00D25B33">
            <w:pPr>
              <w:widowControl w:val="0"/>
              <w:ind w:left="-108" w:right="-174"/>
              <w:rPr>
                <w:b/>
                <w:bCs/>
              </w:rPr>
            </w:pPr>
            <w:r w:rsidRPr="0038741B">
              <w:rPr>
                <w:b/>
                <w:bCs/>
              </w:rPr>
              <w:t xml:space="preserve">  Description</w:t>
            </w:r>
          </w:p>
        </w:tc>
      </w:tr>
      <w:tr w:rsidR="009D2EA8" w:rsidRPr="0038741B" w:rsidTr="00D25B33">
        <w:trPr>
          <w:cantSplit/>
          <w:jc w:val="right"/>
        </w:trPr>
        <w:tc>
          <w:tcPr>
            <w:tcW w:w="4068" w:type="dxa"/>
          </w:tcPr>
          <w:p w:rsidR="009D2EA8" w:rsidRPr="0038741B" w:rsidRDefault="009D2EA8" w:rsidP="00D25B33">
            <w:pPr>
              <w:widowControl w:val="0"/>
              <w:rPr>
                <w:bCs/>
              </w:rPr>
            </w:pPr>
            <w:r w:rsidRPr="0038741B">
              <w:rPr>
                <w:bCs/>
              </w:rPr>
              <w:t xml:space="preserve">Attachment 1: Administrative Rules Governing RFPs </w:t>
            </w:r>
            <w:r w:rsidRPr="0038741B">
              <w:rPr>
                <w:bCs/>
                <w:vanish/>
              </w:rPr>
              <w:t>:</w:t>
            </w:r>
          </w:p>
        </w:tc>
        <w:tc>
          <w:tcPr>
            <w:tcW w:w="5130" w:type="dxa"/>
          </w:tcPr>
          <w:p w:rsidR="009D2EA8" w:rsidRPr="0038741B" w:rsidRDefault="009D2EA8" w:rsidP="00D25B33">
            <w:pPr>
              <w:widowControl w:val="0"/>
              <w:tabs>
                <w:tab w:val="left" w:pos="2178"/>
              </w:tabs>
              <w:rPr>
                <w:bCs/>
                <w:i/>
              </w:rPr>
            </w:pPr>
            <w:r w:rsidRPr="0038741B">
              <w:t>These rules govern this solicitation.</w:t>
            </w:r>
          </w:p>
        </w:tc>
      </w:tr>
      <w:tr w:rsidR="009D2EA8" w:rsidRPr="0038741B" w:rsidTr="00D25B33">
        <w:trPr>
          <w:cantSplit/>
          <w:jc w:val="right"/>
        </w:trPr>
        <w:tc>
          <w:tcPr>
            <w:tcW w:w="4068" w:type="dxa"/>
          </w:tcPr>
          <w:p w:rsidR="009D2EA8" w:rsidRPr="0038741B" w:rsidRDefault="009D2EA8" w:rsidP="00D25B33">
            <w:pPr>
              <w:widowControl w:val="0"/>
            </w:pPr>
            <w:r w:rsidRPr="0038741B">
              <w:rPr>
                <w:bCs/>
              </w:rPr>
              <w:t xml:space="preserve">Attachment </w:t>
            </w:r>
            <w:r w:rsidRPr="0038741B">
              <w:t>2: Terms and Conditions</w:t>
            </w:r>
          </w:p>
          <w:p w:rsidR="009D2EA8" w:rsidRPr="0038741B" w:rsidRDefault="009D2EA8" w:rsidP="00D25B33">
            <w:pPr>
              <w:widowControl w:val="0"/>
              <w:rPr>
                <w:bCs/>
              </w:rPr>
            </w:pPr>
            <w:r w:rsidRPr="0038741B">
              <w:t>(includes JBCL Appendix)</w:t>
            </w:r>
          </w:p>
        </w:tc>
        <w:tc>
          <w:tcPr>
            <w:tcW w:w="5130" w:type="dxa"/>
          </w:tcPr>
          <w:p w:rsidR="009D2EA8" w:rsidRPr="0038741B" w:rsidRDefault="009D2EA8" w:rsidP="00D25B33">
            <w:pPr>
              <w:widowControl w:val="0"/>
              <w:tabs>
                <w:tab w:val="left" w:pos="2178"/>
              </w:tabs>
              <w:ind w:right="-108"/>
              <w:rPr>
                <w:b/>
                <w:bCs/>
              </w:rPr>
            </w:pPr>
            <w:r w:rsidRPr="0038741B">
              <w:t xml:space="preserve">If selected, the Proposer must sign an AOC Standard Form Agreement containing these terms and conditions (“Terms and Conditions”).  </w:t>
            </w:r>
          </w:p>
        </w:tc>
      </w:tr>
      <w:tr w:rsidR="009D2EA8" w:rsidRPr="0038741B" w:rsidTr="00D25B33">
        <w:trPr>
          <w:cantSplit/>
          <w:jc w:val="right"/>
        </w:trPr>
        <w:tc>
          <w:tcPr>
            <w:tcW w:w="4068" w:type="dxa"/>
          </w:tcPr>
          <w:p w:rsidR="009D2EA8" w:rsidRPr="0038741B" w:rsidRDefault="009D2EA8" w:rsidP="00D25B33">
            <w:pPr>
              <w:widowControl w:val="0"/>
            </w:pPr>
            <w:r w:rsidRPr="0038741B">
              <w:rPr>
                <w:bCs/>
              </w:rPr>
              <w:t xml:space="preserve">Attachment </w:t>
            </w:r>
            <w:r w:rsidRPr="0038741B">
              <w:t>3: Proposer’s Acceptance of Contract Terms and Conditions</w:t>
            </w:r>
          </w:p>
          <w:p w:rsidR="009D2EA8" w:rsidRPr="0038741B" w:rsidRDefault="009D2EA8" w:rsidP="00D25B33">
            <w:pPr>
              <w:widowControl w:val="0"/>
              <w:rPr>
                <w:b/>
                <w:bCs/>
                <w:i/>
              </w:rPr>
            </w:pPr>
          </w:p>
        </w:tc>
        <w:tc>
          <w:tcPr>
            <w:tcW w:w="5130" w:type="dxa"/>
          </w:tcPr>
          <w:p w:rsidR="008F5FA3" w:rsidRDefault="009D2EA8" w:rsidP="00D25B33">
            <w:pPr>
              <w:widowControl w:val="0"/>
              <w:tabs>
                <w:tab w:val="left" w:pos="2178"/>
              </w:tabs>
            </w:pPr>
            <w:r w:rsidRPr="0038741B">
              <w:t>On this form, the Proposer must indicate acceptance of the Terms and Conditions or identify exceptions to the Terms and Conditions.</w:t>
            </w:r>
          </w:p>
          <w:p w:rsidR="008F5FA3" w:rsidRDefault="008F5FA3" w:rsidP="00D25B33">
            <w:pPr>
              <w:widowControl w:val="0"/>
              <w:tabs>
                <w:tab w:val="left" w:pos="2178"/>
              </w:tabs>
            </w:pPr>
          </w:p>
          <w:p w:rsidR="009D2EA8" w:rsidRPr="0038741B" w:rsidRDefault="008F5FA3" w:rsidP="00D25B33">
            <w:pPr>
              <w:widowControl w:val="0"/>
              <w:tabs>
                <w:tab w:val="left" w:pos="2178"/>
              </w:tabs>
              <w:rPr>
                <w:b/>
                <w:bCs/>
              </w:rPr>
            </w:pPr>
            <w:r w:rsidRPr="00E44784">
              <w:rPr>
                <w:b/>
              </w:rPr>
              <w:t xml:space="preserve">Note: A material </w:t>
            </w:r>
            <w:r w:rsidRPr="00E44784">
              <w:rPr>
                <w:b/>
                <w:bCs/>
              </w:rPr>
              <w:t>exception to a Minimum Term may render a proposal non-responsive</w:t>
            </w:r>
            <w:r w:rsidRPr="00E44784">
              <w:rPr>
                <w:b/>
              </w:rPr>
              <w:t xml:space="preserve">. </w:t>
            </w:r>
            <w:r w:rsidR="009D2EA8" w:rsidRPr="0038741B">
              <w:t xml:space="preserve"> </w:t>
            </w:r>
          </w:p>
        </w:tc>
      </w:tr>
      <w:tr w:rsidR="009D2EA8" w:rsidRPr="0038741B" w:rsidTr="00D25B33">
        <w:trPr>
          <w:cantSplit/>
          <w:jc w:val="right"/>
        </w:trPr>
        <w:tc>
          <w:tcPr>
            <w:tcW w:w="4068" w:type="dxa"/>
          </w:tcPr>
          <w:p w:rsidR="009D2EA8" w:rsidRPr="0038741B" w:rsidRDefault="009D2EA8" w:rsidP="00D25B33">
            <w:pPr>
              <w:widowControl w:val="0"/>
              <w:rPr>
                <w:bCs/>
              </w:rPr>
            </w:pPr>
            <w:r w:rsidRPr="0038741B">
              <w:rPr>
                <w:bCs/>
              </w:rPr>
              <w:lastRenderedPageBreak/>
              <w:t>Attachment 4:</w:t>
            </w:r>
            <w:r w:rsidRPr="0038741B">
              <w:t xml:space="preserve"> </w:t>
            </w:r>
            <w:r w:rsidRPr="0038741B">
              <w:rPr>
                <w:bCs/>
              </w:rPr>
              <w:t>Vendor Data Record Form</w:t>
            </w:r>
          </w:p>
        </w:tc>
        <w:tc>
          <w:tcPr>
            <w:tcW w:w="5130" w:type="dxa"/>
          </w:tcPr>
          <w:p w:rsidR="009D2EA8" w:rsidRPr="0038741B" w:rsidRDefault="009D2EA8" w:rsidP="00D25B33">
            <w:pPr>
              <w:widowControl w:val="0"/>
            </w:pPr>
            <w:r w:rsidRPr="0038741B">
              <w:rPr>
                <w:bCs/>
              </w:rPr>
              <w:t xml:space="preserve">This form contains information the AOC requires in order to process payments and must be submitted with the proposal. </w:t>
            </w:r>
            <w:r w:rsidRPr="0038741B">
              <w:t xml:space="preserve"> </w:t>
            </w:r>
          </w:p>
        </w:tc>
      </w:tr>
      <w:tr w:rsidR="009D2EA8" w:rsidRPr="0038741B" w:rsidTr="00D25B33">
        <w:trPr>
          <w:cantSplit/>
          <w:trHeight w:val="575"/>
          <w:jc w:val="right"/>
        </w:trPr>
        <w:tc>
          <w:tcPr>
            <w:tcW w:w="4068" w:type="dxa"/>
          </w:tcPr>
          <w:p w:rsidR="009D2EA8" w:rsidRPr="0038741B" w:rsidRDefault="009D2EA8" w:rsidP="00D25B33">
            <w:pPr>
              <w:widowControl w:val="0"/>
              <w:rPr>
                <w:bCs/>
              </w:rPr>
            </w:pPr>
            <w:r w:rsidRPr="0038741B">
              <w:rPr>
                <w:bCs/>
              </w:rPr>
              <w:t xml:space="preserve">Attachment </w:t>
            </w:r>
            <w:r w:rsidR="0038741B" w:rsidRPr="0038741B">
              <w:rPr>
                <w:bCs/>
              </w:rPr>
              <w:t>5</w:t>
            </w:r>
            <w:r w:rsidRPr="0038741B">
              <w:rPr>
                <w:bCs/>
              </w:rPr>
              <w:t>: Conflict of Interest Certification Form</w:t>
            </w:r>
          </w:p>
        </w:tc>
        <w:tc>
          <w:tcPr>
            <w:tcW w:w="5130" w:type="dxa"/>
          </w:tcPr>
          <w:p w:rsidR="009D2EA8" w:rsidRPr="0038741B" w:rsidRDefault="009D2EA8" w:rsidP="00D25B33">
            <w:pPr>
              <w:widowControl w:val="0"/>
            </w:pPr>
            <w:r w:rsidRPr="0038741B">
              <w:t>On this form, the Proposer indicates that there is</w:t>
            </w:r>
            <w:r w:rsidRPr="0038741B">
              <w:rPr>
                <w:bCs/>
              </w:rPr>
              <w:t xml:space="preserve"> no interest that would constitute a conflict of interest under California Law. </w:t>
            </w:r>
            <w:r w:rsidRPr="0038741B">
              <w:t xml:space="preserve"> </w:t>
            </w:r>
          </w:p>
        </w:tc>
      </w:tr>
      <w:tr w:rsidR="009D2EA8" w:rsidRPr="0038741B" w:rsidTr="00D25B33">
        <w:trPr>
          <w:cantSplit/>
          <w:trHeight w:val="484"/>
          <w:jc w:val="right"/>
        </w:trPr>
        <w:tc>
          <w:tcPr>
            <w:tcW w:w="4068" w:type="dxa"/>
          </w:tcPr>
          <w:p w:rsidR="009D2EA8" w:rsidRPr="0038741B" w:rsidRDefault="009D2EA8" w:rsidP="00D25B33">
            <w:pPr>
              <w:widowControl w:val="0"/>
              <w:rPr>
                <w:bCs/>
              </w:rPr>
            </w:pPr>
            <w:r w:rsidRPr="0038741B">
              <w:rPr>
                <w:bCs/>
              </w:rPr>
              <w:t xml:space="preserve">Attachment </w:t>
            </w:r>
            <w:r w:rsidR="0038741B" w:rsidRPr="0038741B">
              <w:rPr>
                <w:bCs/>
              </w:rPr>
              <w:t>6</w:t>
            </w:r>
            <w:r w:rsidRPr="0038741B">
              <w:rPr>
                <w:bCs/>
              </w:rPr>
              <w:t>: Conflict M</w:t>
            </w:r>
            <w:r w:rsidR="0038741B" w:rsidRPr="0038741B">
              <w:rPr>
                <w:bCs/>
              </w:rPr>
              <w:t>inerals</w:t>
            </w:r>
            <w:r w:rsidRPr="0038741B">
              <w:rPr>
                <w:bCs/>
              </w:rPr>
              <w:t xml:space="preserve"> Certification Form</w:t>
            </w:r>
          </w:p>
        </w:tc>
        <w:tc>
          <w:tcPr>
            <w:tcW w:w="5130" w:type="dxa"/>
          </w:tcPr>
          <w:p w:rsidR="009D2EA8" w:rsidRPr="0038741B" w:rsidRDefault="009D2EA8" w:rsidP="00D25B33">
            <w:pPr>
              <w:widowControl w:val="0"/>
            </w:pPr>
            <w:r w:rsidRPr="0038741B">
              <w:t xml:space="preserve">On this form, the Proposer makes a certification pursuant to PCC 10490(b).  </w:t>
            </w:r>
          </w:p>
        </w:tc>
      </w:tr>
      <w:tr w:rsidR="00BB49DB" w:rsidRPr="0038741B" w:rsidTr="00D25B33">
        <w:trPr>
          <w:cantSplit/>
          <w:trHeight w:val="484"/>
          <w:jc w:val="right"/>
        </w:trPr>
        <w:tc>
          <w:tcPr>
            <w:tcW w:w="4068" w:type="dxa"/>
          </w:tcPr>
          <w:p w:rsidR="00BB49DB" w:rsidRPr="0038741B" w:rsidRDefault="00BB49DB" w:rsidP="008921CD">
            <w:pPr>
              <w:widowControl w:val="0"/>
              <w:rPr>
                <w:bCs/>
              </w:rPr>
            </w:pPr>
            <w:r w:rsidRPr="0038741B">
              <w:rPr>
                <w:bCs/>
              </w:rPr>
              <w:t xml:space="preserve">Attachment </w:t>
            </w:r>
            <w:r w:rsidR="008921CD">
              <w:rPr>
                <w:bCs/>
              </w:rPr>
              <w:t>7</w:t>
            </w:r>
            <w:r w:rsidRPr="0038741B">
              <w:rPr>
                <w:bCs/>
              </w:rPr>
              <w:t>: Cost Pricing Form</w:t>
            </w:r>
          </w:p>
        </w:tc>
        <w:tc>
          <w:tcPr>
            <w:tcW w:w="5130" w:type="dxa"/>
          </w:tcPr>
          <w:p w:rsidR="004A500B" w:rsidRDefault="004A500B" w:rsidP="004A500B">
            <w:pPr>
              <w:widowControl w:val="0"/>
            </w:pPr>
            <w:r>
              <w:t xml:space="preserve">For Deliverables 1, 2b, 3, 4, and 5, </w:t>
            </w:r>
            <w:r w:rsidR="00C82121" w:rsidRPr="0038741B">
              <w:t xml:space="preserve">Proposer must provide </w:t>
            </w:r>
            <w:r>
              <w:t>cost elements and firm fixed prices for each Deliverable.</w:t>
            </w:r>
          </w:p>
          <w:p w:rsidR="00BB49DB" w:rsidRPr="0038741B" w:rsidRDefault="004A500B" w:rsidP="004A500B">
            <w:pPr>
              <w:widowControl w:val="0"/>
            </w:pPr>
            <w:r>
              <w:t xml:space="preserve">For Deliverable 2a, </w:t>
            </w:r>
            <w:r w:rsidRPr="0038741B">
              <w:t xml:space="preserve">Proposer must provide </w:t>
            </w:r>
            <w:r>
              <w:t>details including products purchased, quantities, unit prices and total a not to exceed amount for all products.</w:t>
            </w:r>
          </w:p>
        </w:tc>
      </w:tr>
      <w:tr w:rsidR="008921CD" w:rsidRPr="0038741B" w:rsidTr="00D25B33">
        <w:trPr>
          <w:cantSplit/>
          <w:trHeight w:val="484"/>
          <w:jc w:val="right"/>
        </w:trPr>
        <w:tc>
          <w:tcPr>
            <w:tcW w:w="4068" w:type="dxa"/>
          </w:tcPr>
          <w:p w:rsidR="008921CD" w:rsidRPr="0038741B" w:rsidRDefault="008921CD" w:rsidP="008921CD">
            <w:pPr>
              <w:widowControl w:val="0"/>
              <w:rPr>
                <w:bCs/>
              </w:rPr>
            </w:pPr>
            <w:r>
              <w:rPr>
                <w:bCs/>
              </w:rPr>
              <w:t>Attachment 7a</w:t>
            </w:r>
            <w:r w:rsidR="008B1515">
              <w:rPr>
                <w:bCs/>
              </w:rPr>
              <w:t>: Proposed AV Equipment and Components (Excel Spreadsheet)</w:t>
            </w:r>
          </w:p>
        </w:tc>
        <w:tc>
          <w:tcPr>
            <w:tcW w:w="5130" w:type="dxa"/>
          </w:tcPr>
          <w:p w:rsidR="008921CD" w:rsidRDefault="008921CD" w:rsidP="004A500B">
            <w:pPr>
              <w:widowControl w:val="0"/>
            </w:pPr>
            <w:r>
              <w:t xml:space="preserve">Use this Excel spreadsheet to provide the product description, manufacturer, model, quantity, unit price, extended amount, taxes, </w:t>
            </w:r>
            <w:proofErr w:type="gramStart"/>
            <w:r>
              <w:t>delivery</w:t>
            </w:r>
            <w:proofErr w:type="gramEnd"/>
            <w:r>
              <w:t xml:space="preserve"> costs and not to exceed total</w:t>
            </w:r>
            <w:r w:rsidR="00C277BD">
              <w:t xml:space="preserve"> for AV Components and parts proposed.</w:t>
            </w:r>
          </w:p>
        </w:tc>
      </w:tr>
      <w:tr w:rsidR="002C2EAA" w:rsidRPr="0038741B" w:rsidTr="00D25B33">
        <w:trPr>
          <w:cantSplit/>
          <w:trHeight w:val="484"/>
          <w:jc w:val="right"/>
        </w:trPr>
        <w:tc>
          <w:tcPr>
            <w:tcW w:w="4068" w:type="dxa"/>
          </w:tcPr>
          <w:p w:rsidR="002C2EAA" w:rsidRPr="0038741B" w:rsidRDefault="002C2EAA" w:rsidP="008921CD">
            <w:pPr>
              <w:widowControl w:val="0"/>
              <w:rPr>
                <w:bCs/>
              </w:rPr>
            </w:pPr>
            <w:r>
              <w:rPr>
                <w:bCs/>
              </w:rPr>
              <w:t>Attachment</w:t>
            </w:r>
            <w:r w:rsidR="00964BBF">
              <w:rPr>
                <w:bCs/>
              </w:rPr>
              <w:t>s</w:t>
            </w:r>
            <w:r>
              <w:rPr>
                <w:bCs/>
              </w:rPr>
              <w:t xml:space="preserve"> </w:t>
            </w:r>
            <w:r w:rsidR="008921CD">
              <w:rPr>
                <w:bCs/>
              </w:rPr>
              <w:t>8</w:t>
            </w:r>
            <w:r w:rsidR="00964BBF">
              <w:rPr>
                <w:bCs/>
              </w:rPr>
              <w:t>a – 8d</w:t>
            </w:r>
            <w:r>
              <w:rPr>
                <w:bCs/>
              </w:rPr>
              <w:t xml:space="preserve">: </w:t>
            </w:r>
            <w:r w:rsidR="00F6740C">
              <w:t>Drawings of existing systems</w:t>
            </w:r>
          </w:p>
        </w:tc>
        <w:tc>
          <w:tcPr>
            <w:tcW w:w="5130" w:type="dxa"/>
          </w:tcPr>
          <w:p w:rsidR="002C2EAA" w:rsidRDefault="00964BBF" w:rsidP="00D25B33">
            <w:pPr>
              <w:widowControl w:val="0"/>
            </w:pPr>
            <w:r>
              <w:t>8a-</w:t>
            </w:r>
            <w:r w:rsidR="002C2EAA">
              <w:t>Boardroom Audio</w:t>
            </w:r>
          </w:p>
          <w:p w:rsidR="002C2EAA" w:rsidRDefault="00964BBF" w:rsidP="00D25B33">
            <w:pPr>
              <w:widowControl w:val="0"/>
            </w:pPr>
            <w:r>
              <w:t>8b-</w:t>
            </w:r>
            <w:r w:rsidR="002C2EAA">
              <w:t>Boardroom Video</w:t>
            </w:r>
          </w:p>
          <w:p w:rsidR="002C2EAA" w:rsidRDefault="00964BBF" w:rsidP="00D25B33">
            <w:pPr>
              <w:widowControl w:val="0"/>
            </w:pPr>
            <w:r>
              <w:t>8c-</w:t>
            </w:r>
            <w:r w:rsidR="002C2EAA">
              <w:t>Courtroom Audio</w:t>
            </w:r>
          </w:p>
          <w:p w:rsidR="002C2EAA" w:rsidRPr="0038741B" w:rsidRDefault="00964BBF" w:rsidP="00D25B33">
            <w:pPr>
              <w:widowControl w:val="0"/>
            </w:pPr>
            <w:r>
              <w:t>8d-</w:t>
            </w:r>
            <w:r w:rsidR="002C2EAA">
              <w:t>Courtroom Video</w:t>
            </w:r>
          </w:p>
        </w:tc>
      </w:tr>
      <w:tr w:rsidR="009D2EA8" w:rsidRPr="0038741B" w:rsidTr="00D25B33">
        <w:trPr>
          <w:trHeight w:val="330"/>
          <w:jc w:val="right"/>
        </w:trPr>
        <w:tc>
          <w:tcPr>
            <w:tcW w:w="9198" w:type="dxa"/>
            <w:gridSpan w:val="2"/>
            <w:vAlign w:val="center"/>
          </w:tcPr>
          <w:p w:rsidR="009D2EA8" w:rsidRPr="0038741B" w:rsidRDefault="009D2EA8" w:rsidP="00904E74">
            <w:pPr>
              <w:widowControl w:val="0"/>
            </w:pPr>
            <w:r w:rsidRPr="0038741B">
              <w:rPr>
                <w:b/>
              </w:rPr>
              <w:t>Attachments 3-</w:t>
            </w:r>
            <w:r w:rsidR="00904E74">
              <w:rPr>
                <w:b/>
              </w:rPr>
              <w:t>7</w:t>
            </w:r>
            <w:r w:rsidRPr="0038741B">
              <w:rPr>
                <w:b/>
              </w:rPr>
              <w:t xml:space="preserve"> must be signed by an authorized representative of the Proposer.</w:t>
            </w:r>
          </w:p>
        </w:tc>
      </w:tr>
    </w:tbl>
    <w:p w:rsidR="002E7965" w:rsidRPr="0038741B" w:rsidRDefault="002E7965" w:rsidP="002E7965">
      <w:pPr>
        <w:widowControl w:val="0"/>
        <w:ind w:left="1440"/>
        <w:rPr>
          <w:bCs/>
        </w:rPr>
      </w:pPr>
    </w:p>
    <w:p w:rsidR="00A50B42" w:rsidRPr="0038741B" w:rsidRDefault="00A50B42" w:rsidP="00A50B42">
      <w:pPr>
        <w:pStyle w:val="ListParagraph"/>
      </w:pPr>
    </w:p>
    <w:p w:rsidR="00327CD5" w:rsidRPr="0038741B" w:rsidRDefault="00327CD5" w:rsidP="0038741B">
      <w:pPr>
        <w:ind w:left="720" w:hanging="720"/>
        <w:rPr>
          <w:b/>
          <w:bCs/>
        </w:rPr>
      </w:pPr>
      <w:r w:rsidRPr="0038741B">
        <w:rPr>
          <w:b/>
          <w:bCs/>
        </w:rPr>
        <w:t>5.0</w:t>
      </w:r>
      <w:r w:rsidRPr="0038741B">
        <w:rPr>
          <w:b/>
          <w:bCs/>
        </w:rPr>
        <w:tab/>
        <w:t>PAYMENT INFORMATION</w:t>
      </w:r>
    </w:p>
    <w:p w:rsidR="00327CD5" w:rsidRDefault="00327CD5" w:rsidP="0038741B">
      <w:pPr>
        <w:ind w:left="720" w:hanging="720"/>
        <w:rPr>
          <w:b/>
          <w:bCs/>
        </w:rPr>
      </w:pPr>
    </w:p>
    <w:p w:rsidR="007B4D29" w:rsidRPr="0038741B" w:rsidRDefault="00190A55" w:rsidP="0038741B">
      <w:pPr>
        <w:ind w:left="720"/>
        <w:rPr>
          <w:bCs/>
        </w:rPr>
      </w:pPr>
      <w:r w:rsidRPr="0038741B">
        <w:rPr>
          <w:bCs/>
        </w:rPr>
        <w:t xml:space="preserve">The AOC will pay Contractor </w:t>
      </w:r>
      <w:r w:rsidR="0038741B">
        <w:rPr>
          <w:bCs/>
        </w:rPr>
        <w:t>following</w:t>
      </w:r>
      <w:r w:rsidRPr="0038741B">
        <w:rPr>
          <w:bCs/>
        </w:rPr>
        <w:t xml:space="preserve"> completion </w:t>
      </w:r>
      <w:r w:rsidR="0038741B" w:rsidRPr="0038741B">
        <w:rPr>
          <w:bCs/>
        </w:rPr>
        <w:t xml:space="preserve">and the AOC’s acceptance </w:t>
      </w:r>
      <w:r w:rsidRPr="0038741B">
        <w:rPr>
          <w:bCs/>
        </w:rPr>
        <w:t xml:space="preserve">of each </w:t>
      </w:r>
      <w:r w:rsidR="0038741B" w:rsidRPr="0038741B">
        <w:rPr>
          <w:bCs/>
        </w:rPr>
        <w:t>D</w:t>
      </w:r>
      <w:r w:rsidRPr="0038741B">
        <w:rPr>
          <w:bCs/>
        </w:rPr>
        <w:t>eliverable, as set forth in Attachment 2, Terms and Conditions, Exhibit B, Payment Provisions.</w:t>
      </w:r>
    </w:p>
    <w:p w:rsidR="00327CD5" w:rsidRDefault="00327CD5" w:rsidP="0038741B">
      <w:pPr>
        <w:ind w:left="720" w:hanging="720"/>
        <w:rPr>
          <w:b/>
          <w:bCs/>
        </w:rPr>
      </w:pPr>
    </w:p>
    <w:p w:rsidR="00173CFE" w:rsidRDefault="00512CCE" w:rsidP="0038741B">
      <w:pPr>
        <w:ind w:left="720" w:hanging="720"/>
        <w:rPr>
          <w:rFonts w:ascii="Times New Roman Bold" w:hAnsi="Times New Roman Bold"/>
          <w:b/>
          <w:caps/>
          <w:color w:val="000000"/>
        </w:rPr>
      </w:pPr>
      <w:r>
        <w:rPr>
          <w:b/>
          <w:bCs/>
        </w:rPr>
        <w:t>6</w:t>
      </w:r>
      <w:r w:rsidR="00173CFE" w:rsidRPr="005E0EE1">
        <w:rPr>
          <w:b/>
          <w:bCs/>
        </w:rPr>
        <w:t>.0</w:t>
      </w:r>
      <w:r w:rsidR="00173CFE" w:rsidRPr="005E0EE1">
        <w:rPr>
          <w:b/>
          <w:bCs/>
        </w:rPr>
        <w:tab/>
      </w:r>
      <w:r w:rsidR="008F5FA3">
        <w:rPr>
          <w:b/>
          <w:bCs/>
        </w:rPr>
        <w:t xml:space="preserve">MANDATORY </w:t>
      </w:r>
      <w:r w:rsidR="00173CFE" w:rsidRPr="00D613D4">
        <w:rPr>
          <w:rFonts w:ascii="Times New Roman Bold" w:hAnsi="Times New Roman Bold"/>
          <w:b/>
          <w:caps/>
          <w:color w:val="000000"/>
        </w:rPr>
        <w:t xml:space="preserve">Pre-proposal </w:t>
      </w:r>
      <w:r w:rsidR="0002452B">
        <w:rPr>
          <w:rFonts w:ascii="Times New Roman Bold" w:hAnsi="Times New Roman Bold"/>
          <w:b/>
          <w:caps/>
          <w:color w:val="000000"/>
        </w:rPr>
        <w:t xml:space="preserve">WALKTHROUGH </w:t>
      </w:r>
    </w:p>
    <w:p w:rsidR="0002452B" w:rsidRDefault="0002452B" w:rsidP="0038741B">
      <w:pPr>
        <w:ind w:left="720" w:hanging="720"/>
        <w:rPr>
          <w:b/>
          <w:bCs/>
        </w:rPr>
      </w:pPr>
    </w:p>
    <w:p w:rsidR="00DA6217" w:rsidRPr="0038741B" w:rsidRDefault="00173CFE" w:rsidP="0038741B">
      <w:pPr>
        <w:ind w:left="720" w:hanging="720"/>
        <w:rPr>
          <w:bCs/>
        </w:rPr>
      </w:pPr>
      <w:r w:rsidRPr="0038741B">
        <w:rPr>
          <w:b/>
          <w:bCs/>
        </w:rPr>
        <w:tab/>
      </w:r>
      <w:r w:rsidRPr="0038741B">
        <w:rPr>
          <w:bCs/>
        </w:rPr>
        <w:t xml:space="preserve">The </w:t>
      </w:r>
      <w:r w:rsidR="003A1B30" w:rsidRPr="0038741B">
        <w:rPr>
          <w:bCs/>
        </w:rPr>
        <w:t>AOC</w:t>
      </w:r>
      <w:r w:rsidR="008F5FA3">
        <w:rPr>
          <w:bCs/>
        </w:rPr>
        <w:t xml:space="preserve"> will hold a MANDATORY</w:t>
      </w:r>
      <w:r w:rsidRPr="0038741B">
        <w:rPr>
          <w:bCs/>
        </w:rPr>
        <w:t xml:space="preserve"> pre-proposal </w:t>
      </w:r>
      <w:r w:rsidR="00DA6217" w:rsidRPr="0038741B">
        <w:rPr>
          <w:bCs/>
        </w:rPr>
        <w:t>walkthrough</w:t>
      </w:r>
      <w:r w:rsidRPr="0038741B">
        <w:rPr>
          <w:bCs/>
        </w:rPr>
        <w:t xml:space="preserve"> on the date identified in the timeline above</w:t>
      </w:r>
      <w:r w:rsidR="008F5FA3">
        <w:rPr>
          <w:bCs/>
        </w:rPr>
        <w:t>.</w:t>
      </w:r>
      <w:r w:rsidRPr="0038741B">
        <w:rPr>
          <w:bCs/>
        </w:rPr>
        <w:t xml:space="preserve">  The pre-proposal </w:t>
      </w:r>
      <w:r w:rsidR="00DA6217" w:rsidRPr="0038741B">
        <w:rPr>
          <w:bCs/>
        </w:rPr>
        <w:t>walkthrough</w:t>
      </w:r>
      <w:r w:rsidRPr="0038741B">
        <w:rPr>
          <w:bCs/>
        </w:rPr>
        <w:t xml:space="preserve"> will be held at </w:t>
      </w:r>
      <w:r w:rsidR="00DA6217" w:rsidRPr="0038741B">
        <w:rPr>
          <w:bCs/>
        </w:rPr>
        <w:t xml:space="preserve">both </w:t>
      </w:r>
      <w:r w:rsidR="00A65DF3" w:rsidRPr="0038741B">
        <w:rPr>
          <w:bCs/>
        </w:rPr>
        <w:t xml:space="preserve">sites </w:t>
      </w:r>
      <w:r w:rsidR="00A65DF3" w:rsidRPr="0038741B">
        <w:rPr>
          <w:b/>
          <w:bCs/>
        </w:rPr>
        <w:t>Judicial</w:t>
      </w:r>
      <w:r w:rsidR="00DA6217" w:rsidRPr="0038741B">
        <w:rPr>
          <w:b/>
          <w:bCs/>
        </w:rPr>
        <w:t xml:space="preserve"> Council of California Boardroom </w:t>
      </w:r>
      <w:r w:rsidR="00DA6217" w:rsidRPr="0038741B">
        <w:rPr>
          <w:bCs/>
        </w:rPr>
        <w:t>and</w:t>
      </w:r>
      <w:r w:rsidR="00DA6217" w:rsidRPr="0038741B">
        <w:rPr>
          <w:b/>
          <w:bCs/>
        </w:rPr>
        <w:t xml:space="preserve"> Supreme Court Courtroom</w:t>
      </w:r>
      <w:r w:rsidR="00DA6217" w:rsidRPr="0038741B">
        <w:rPr>
          <w:bCs/>
        </w:rPr>
        <w:t xml:space="preserve"> a</w:t>
      </w:r>
      <w:r w:rsidR="00227F66" w:rsidRPr="0038741B">
        <w:rPr>
          <w:bCs/>
        </w:rPr>
        <w:t>t</w:t>
      </w:r>
      <w:r w:rsidR="00DA6217" w:rsidRPr="0038741B">
        <w:rPr>
          <w:bCs/>
        </w:rPr>
        <w:t>:</w:t>
      </w:r>
    </w:p>
    <w:p w:rsidR="00DA6217" w:rsidRPr="0038741B" w:rsidRDefault="00DA6217" w:rsidP="0038741B">
      <w:pPr>
        <w:ind w:left="720" w:hanging="720"/>
        <w:rPr>
          <w:bCs/>
        </w:rPr>
      </w:pPr>
    </w:p>
    <w:p w:rsidR="00DA6217" w:rsidRPr="0038741B" w:rsidRDefault="00DA6217" w:rsidP="0038741B">
      <w:pPr>
        <w:ind w:left="720" w:hanging="720"/>
        <w:rPr>
          <w:rFonts w:asciiTheme="minorHAnsi" w:hAnsiTheme="minorHAnsi" w:cstheme="minorHAnsi"/>
          <w:color w:val="000000"/>
        </w:rPr>
      </w:pPr>
      <w:r w:rsidRPr="0038741B">
        <w:rPr>
          <w:bCs/>
        </w:rPr>
        <w:tab/>
      </w:r>
      <w:r w:rsidRPr="0038741B">
        <w:rPr>
          <w:bCs/>
        </w:rPr>
        <w:tab/>
      </w:r>
      <w:r w:rsidRPr="0038741B">
        <w:rPr>
          <w:rFonts w:asciiTheme="minorHAnsi" w:hAnsiTheme="minorHAnsi" w:cstheme="minorHAnsi"/>
          <w:color w:val="000000"/>
        </w:rPr>
        <w:t>455 Golden Gate Avenue</w:t>
      </w:r>
    </w:p>
    <w:p w:rsidR="00173CFE" w:rsidRPr="0038741B" w:rsidRDefault="00DA6217" w:rsidP="0038741B">
      <w:pPr>
        <w:ind w:left="720" w:hanging="720"/>
        <w:rPr>
          <w:rFonts w:asciiTheme="minorHAnsi" w:hAnsiTheme="minorHAnsi" w:cstheme="minorHAnsi"/>
          <w:bCs/>
        </w:rPr>
      </w:pPr>
      <w:r w:rsidRPr="0038741B">
        <w:rPr>
          <w:rFonts w:asciiTheme="minorHAnsi" w:hAnsiTheme="minorHAnsi" w:cstheme="minorHAnsi"/>
          <w:color w:val="000000"/>
        </w:rPr>
        <w:tab/>
      </w:r>
      <w:r w:rsidRPr="0038741B">
        <w:rPr>
          <w:rFonts w:asciiTheme="minorHAnsi" w:hAnsiTheme="minorHAnsi" w:cstheme="minorHAnsi"/>
          <w:color w:val="000000"/>
        </w:rPr>
        <w:tab/>
        <w:t xml:space="preserve">3rd Floor Reception Area </w:t>
      </w:r>
      <w:r w:rsidRPr="0038741B">
        <w:rPr>
          <w:rFonts w:asciiTheme="minorHAnsi" w:hAnsiTheme="minorHAnsi" w:cstheme="minorHAnsi"/>
          <w:color w:val="000000"/>
        </w:rPr>
        <w:br/>
      </w:r>
      <w:r w:rsidRPr="0038741B">
        <w:rPr>
          <w:rFonts w:asciiTheme="minorHAnsi" w:hAnsiTheme="minorHAnsi" w:cstheme="minorHAnsi"/>
          <w:color w:val="000000"/>
        </w:rPr>
        <w:tab/>
        <w:t>San Francisco, CA 94102</w:t>
      </w:r>
      <w:r w:rsidR="00173CFE" w:rsidRPr="0038741B">
        <w:rPr>
          <w:rFonts w:asciiTheme="minorHAnsi" w:hAnsiTheme="minorHAnsi" w:cstheme="minorHAnsi"/>
          <w:bCs/>
        </w:rPr>
        <w:t xml:space="preserve">   </w:t>
      </w:r>
    </w:p>
    <w:p w:rsidR="00173CFE" w:rsidRPr="0038741B" w:rsidRDefault="00173CFE" w:rsidP="0038741B">
      <w:pPr>
        <w:ind w:left="720" w:hanging="720"/>
        <w:rPr>
          <w:bCs/>
        </w:rPr>
      </w:pPr>
    </w:p>
    <w:p w:rsidR="004A500B" w:rsidRDefault="00173CFE" w:rsidP="0038741B">
      <w:pPr>
        <w:ind w:left="720" w:hanging="720"/>
        <w:rPr>
          <w:kern w:val="32"/>
        </w:rPr>
      </w:pPr>
      <w:r w:rsidRPr="0038741B">
        <w:rPr>
          <w:bCs/>
        </w:rPr>
        <w:lastRenderedPageBreak/>
        <w:tab/>
        <w:t xml:space="preserve">Attendance at the pre-proposal </w:t>
      </w:r>
      <w:r w:rsidR="00DA6217" w:rsidRPr="0038741B">
        <w:rPr>
          <w:bCs/>
        </w:rPr>
        <w:t xml:space="preserve">walkthrough </w:t>
      </w:r>
      <w:r w:rsidRPr="0038741B">
        <w:rPr>
          <w:bCs/>
        </w:rPr>
        <w:t xml:space="preserve">is </w:t>
      </w:r>
      <w:r w:rsidRPr="0038741B">
        <w:rPr>
          <w:b/>
          <w:bCs/>
        </w:rPr>
        <w:t>MANDATORY</w:t>
      </w:r>
      <w:r w:rsidRPr="0038741B">
        <w:rPr>
          <w:bCs/>
        </w:rPr>
        <w:t xml:space="preserve">.   Each </w:t>
      </w:r>
      <w:r w:rsidRPr="0038741B">
        <w:rPr>
          <w:kern w:val="32"/>
        </w:rPr>
        <w:t xml:space="preserve">Proposer must be certain to check in at the pre-proposal </w:t>
      </w:r>
      <w:r w:rsidR="00DA6217" w:rsidRPr="0038741B">
        <w:rPr>
          <w:bCs/>
          <w:kern w:val="32"/>
        </w:rPr>
        <w:t>walkthrough</w:t>
      </w:r>
      <w:r w:rsidRPr="0038741B">
        <w:rPr>
          <w:kern w:val="32"/>
        </w:rPr>
        <w:t xml:space="preserve">, as the attendance list will be used to ascertain compliance with this requirement.  </w:t>
      </w:r>
    </w:p>
    <w:p w:rsidR="004A500B" w:rsidRDefault="004A500B" w:rsidP="0038741B">
      <w:pPr>
        <w:ind w:left="720" w:hanging="720"/>
        <w:rPr>
          <w:kern w:val="32"/>
        </w:rPr>
      </w:pPr>
    </w:p>
    <w:p w:rsidR="00173CFE" w:rsidRPr="004A500B" w:rsidRDefault="004A500B" w:rsidP="004A500B">
      <w:pPr>
        <w:ind w:left="720"/>
        <w:rPr>
          <w:b/>
          <w:kern w:val="32"/>
        </w:rPr>
      </w:pPr>
      <w:r w:rsidRPr="004A500B">
        <w:rPr>
          <w:b/>
          <w:kern w:val="32"/>
        </w:rPr>
        <w:t xml:space="preserve">IMPORTANT!!!   </w:t>
      </w:r>
      <w:r w:rsidR="00173CFE" w:rsidRPr="004A500B">
        <w:rPr>
          <w:b/>
          <w:kern w:val="32"/>
        </w:rPr>
        <w:t xml:space="preserve">The </w:t>
      </w:r>
      <w:r w:rsidR="003A1B30" w:rsidRPr="004A500B">
        <w:rPr>
          <w:b/>
          <w:kern w:val="32"/>
        </w:rPr>
        <w:t>AOC</w:t>
      </w:r>
      <w:r w:rsidR="00173CFE" w:rsidRPr="004A500B">
        <w:rPr>
          <w:b/>
          <w:kern w:val="32"/>
        </w:rPr>
        <w:t xml:space="preserve"> will reject a proposal from any Proposer who did not attend the pre-proposal </w:t>
      </w:r>
      <w:r w:rsidR="00DA6217" w:rsidRPr="004A500B">
        <w:rPr>
          <w:b/>
          <w:bCs/>
          <w:kern w:val="32"/>
        </w:rPr>
        <w:t>walkthrough</w:t>
      </w:r>
      <w:r w:rsidR="00173CFE" w:rsidRPr="004A500B">
        <w:rPr>
          <w:b/>
          <w:kern w:val="32"/>
        </w:rPr>
        <w:t>.</w:t>
      </w:r>
    </w:p>
    <w:p w:rsidR="00173CFE" w:rsidRDefault="00173CFE" w:rsidP="0038741B">
      <w:pPr>
        <w:ind w:left="720" w:hanging="720"/>
        <w:rPr>
          <w:b/>
          <w:bCs/>
        </w:rPr>
      </w:pPr>
    </w:p>
    <w:p w:rsidR="002C64BD" w:rsidRDefault="00512CCE" w:rsidP="0038741B">
      <w:pPr>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38741B">
      <w:pPr>
        <w:rPr>
          <w:color w:val="000000"/>
          <w:sz w:val="20"/>
          <w:szCs w:val="20"/>
        </w:rPr>
      </w:pPr>
    </w:p>
    <w:p w:rsidR="002C64BD" w:rsidRPr="005E0EE1" w:rsidRDefault="00512CCE" w:rsidP="0038741B">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rsidRPr="00DF53E9">
        <w:t>a.</w:t>
      </w:r>
      <w:r w:rsidRPr="00DF53E9">
        <w:tab/>
      </w:r>
      <w:r w:rsidR="002C64BD" w:rsidRPr="00DF53E9">
        <w:t xml:space="preserve">The </w:t>
      </w:r>
      <w:r w:rsidR="002C64BD" w:rsidRPr="00DF53E9">
        <w:rPr>
          <w:color w:val="000000"/>
        </w:rPr>
        <w:t xml:space="preserve">Proposer must submit </w:t>
      </w:r>
      <w:r w:rsidR="002C64BD" w:rsidRPr="00DF53E9">
        <w:rPr>
          <w:b/>
          <w:color w:val="000000"/>
        </w:rPr>
        <w:t xml:space="preserve">one (1) original and </w:t>
      </w:r>
      <w:r w:rsidR="00DF53E9" w:rsidRPr="00DF53E9">
        <w:rPr>
          <w:b/>
          <w:color w:val="000000"/>
        </w:rPr>
        <w:t>four</w:t>
      </w:r>
      <w:r w:rsidR="002C64BD" w:rsidRPr="00DF53E9">
        <w:rPr>
          <w:b/>
          <w:color w:val="000000"/>
        </w:rPr>
        <w:t xml:space="preserve"> </w:t>
      </w:r>
      <w:r w:rsidR="00DF53E9" w:rsidRPr="00DF53E9">
        <w:rPr>
          <w:b/>
          <w:color w:val="000000"/>
        </w:rPr>
        <w:t>(4)</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477440" w:rsidRPr="00DF53E9">
        <w:rPr>
          <w:b/>
          <w:color w:val="000000"/>
        </w:rPr>
        <w:t>four (4)</w:t>
      </w:r>
      <w:r w:rsidR="00477440">
        <w:rPr>
          <w:b/>
          <w:color w:val="000000"/>
        </w:rPr>
        <w:t xml:space="preserve"> </w:t>
      </w:r>
      <w:r w:rsidRPr="00294372">
        <w:rPr>
          <w:b/>
          <w:color w:val="000000"/>
        </w:rPr>
        <w:t>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(and the copies thereof) must be submitted to the </w:t>
      </w:r>
      <w:r w:rsidR="003A1B30">
        <w:rPr>
          <w:color w:val="000000"/>
        </w:rPr>
        <w:t>AOC</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Pr="005E0EE1">
        <w:rPr>
          <w:color w:val="000000"/>
        </w:rPr>
        <w:t>.</w:t>
      </w:r>
      <w:r w:rsidR="00C041EE">
        <w:rPr>
          <w:color w:val="000000"/>
        </w:rPr>
        <w:t xml:space="preserve">  The files contained on the CD-ROM should be in PDF, Word, or Excel formats.</w:t>
      </w:r>
    </w:p>
    <w:p w:rsidR="002C64BD" w:rsidRPr="00E46BDC" w:rsidRDefault="006D02BE" w:rsidP="00C041EE">
      <w:pPr>
        <w:ind w:left="1440" w:right="468" w:hanging="720"/>
        <w:rPr>
          <w:color w:val="000000"/>
          <w:sz w:val="20"/>
          <w:szCs w:val="20"/>
        </w:rPr>
      </w:pPr>
      <w:r>
        <w:rPr>
          <w:color w:val="000000"/>
        </w:rPr>
        <w:tab/>
      </w:r>
    </w:p>
    <w:p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1C18B0" w:rsidRPr="007B2785" w:rsidRDefault="001C18B0" w:rsidP="001C18B0">
      <w:pPr>
        <w:ind w:left="2970" w:right="144"/>
        <w:jc w:val="both"/>
      </w:pPr>
      <w:r w:rsidRPr="007B2785">
        <w:t>Judicial Council of California</w:t>
      </w:r>
    </w:p>
    <w:p w:rsidR="001C18B0" w:rsidRPr="007B2785" w:rsidRDefault="001C18B0" w:rsidP="001C18B0">
      <w:pPr>
        <w:ind w:left="2970" w:right="144"/>
        <w:jc w:val="both"/>
      </w:pPr>
      <w:r w:rsidRPr="007B2785">
        <w:t>Administrative Office of the Courts</w:t>
      </w:r>
    </w:p>
    <w:p w:rsidR="001C18B0" w:rsidRPr="007B2785" w:rsidRDefault="001C18B0" w:rsidP="001C18B0">
      <w:pPr>
        <w:ind w:left="2970" w:right="144"/>
        <w:jc w:val="both"/>
      </w:pPr>
      <w:r w:rsidRPr="007B2785">
        <w:rPr>
          <w:bCs/>
        </w:rPr>
        <w:t>Fiscal Services Office, Business Services</w:t>
      </w:r>
    </w:p>
    <w:p w:rsidR="001C18B0" w:rsidRPr="007B2785" w:rsidRDefault="001C18B0" w:rsidP="001C18B0">
      <w:pPr>
        <w:ind w:left="2970" w:right="144"/>
        <w:jc w:val="both"/>
      </w:pPr>
      <w:r w:rsidRPr="007B2785">
        <w:t>Attn: Nadine McFadden, RFP</w:t>
      </w:r>
      <w:r w:rsidR="004F0716">
        <w:t>#</w:t>
      </w:r>
      <w:r w:rsidRPr="007B2785">
        <w:t xml:space="preserve"> </w:t>
      </w:r>
      <w:r w:rsidR="008F5FA3">
        <w:t>CJER 05-13-RB</w:t>
      </w:r>
    </w:p>
    <w:p w:rsidR="001C18B0" w:rsidRPr="007B2785" w:rsidRDefault="001C18B0" w:rsidP="001C18B0">
      <w:pPr>
        <w:ind w:left="2970" w:right="144"/>
        <w:jc w:val="both"/>
      </w:pPr>
      <w:r w:rsidRPr="007B2785">
        <w:t xml:space="preserve">455 Golden Gate Avenue, </w:t>
      </w:r>
      <w:r w:rsidR="00375134">
        <w:t>6</w:t>
      </w:r>
      <w:r w:rsidRPr="007B2785">
        <w:rPr>
          <w:vertAlign w:val="superscript"/>
        </w:rPr>
        <w:t>th</w:t>
      </w:r>
      <w:r w:rsidRPr="007B2785">
        <w:t xml:space="preserve"> Floor</w:t>
      </w:r>
    </w:p>
    <w:p w:rsidR="001C18B0" w:rsidRPr="007B2785" w:rsidRDefault="001C18B0" w:rsidP="001C18B0">
      <w:pPr>
        <w:ind w:left="2970" w:right="144"/>
        <w:jc w:val="both"/>
      </w:pPr>
      <w:r w:rsidRPr="007B2785">
        <w:t>San Francisco, CA  94102-3688</w:t>
      </w:r>
    </w:p>
    <w:p w:rsidR="002C64BD" w:rsidRPr="00E46BDC" w:rsidRDefault="002C64BD" w:rsidP="002C64BD">
      <w:pPr>
        <w:ind w:left="1440" w:hanging="720"/>
        <w:rPr>
          <w:color w:val="000000"/>
          <w:sz w:val="20"/>
          <w:szCs w:val="20"/>
        </w:rPr>
      </w:pPr>
    </w:p>
    <w:p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Default="00512CCE" w:rsidP="002C64BD">
      <w:pPr>
        <w:pStyle w:val="BodyTextIndent"/>
        <w:spacing w:after="0"/>
        <w:ind w:left="1440" w:right="460" w:hanging="720"/>
        <w:rPr>
          <w:color w:val="000000" w:themeColor="text1"/>
        </w:rPr>
      </w:pPr>
      <w:r>
        <w:rPr>
          <w:color w:val="000000"/>
        </w:rPr>
        <w:lastRenderedPageBreak/>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rsidR="00595822" w:rsidRDefault="00595822" w:rsidP="00595822">
      <w:pPr>
        <w:keepNext/>
        <w:ind w:left="720"/>
      </w:pPr>
    </w:p>
    <w:p w:rsidR="00595822" w:rsidRDefault="00893C52" w:rsidP="00595822">
      <w:pPr>
        <w:ind w:left="144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0518CD" w:rsidRDefault="000518CD" w:rsidP="00C041EE">
      <w:pPr>
        <w:ind w:left="1440" w:right="468" w:hanging="720"/>
        <w:rPr>
          <w:color w:val="000000"/>
        </w:rPr>
      </w:pPr>
    </w:p>
    <w:p w:rsidR="009336CA" w:rsidRDefault="000518CD" w:rsidP="000518CD">
      <w:pPr>
        <w:ind w:left="1440" w:hanging="720"/>
      </w:pPr>
      <w:r>
        <w:t>c.</w:t>
      </w:r>
      <w:r>
        <w:tab/>
        <w:t xml:space="preserve">Model number(s), specifications, or other description of the goods </w:t>
      </w:r>
      <w:r w:rsidR="00D92EF1">
        <w:t>Proposer</w:t>
      </w:r>
      <w:r>
        <w:t xml:space="preserve"> proposes to supply to the </w:t>
      </w:r>
      <w:r w:rsidR="003A1B30">
        <w:t>AOC</w:t>
      </w:r>
      <w:r>
        <w:t>.</w:t>
      </w:r>
    </w:p>
    <w:p w:rsidR="000518CD" w:rsidRDefault="000518CD" w:rsidP="000518CD">
      <w:pPr>
        <w:ind w:left="1440" w:hanging="720"/>
      </w:pPr>
    </w:p>
    <w:p w:rsidR="000518CD" w:rsidRDefault="00020DD8" w:rsidP="000518CD">
      <w:pPr>
        <w:ind w:left="1440" w:hanging="720"/>
      </w:pPr>
      <w:r>
        <w:t>d.</w:t>
      </w:r>
      <w:r w:rsidR="000518CD">
        <w:tab/>
        <w:t xml:space="preserve">Names, addresses, and telephone numbers of a minimum </w:t>
      </w:r>
      <w:r w:rsidR="000518CD" w:rsidRPr="00477440">
        <w:t xml:space="preserve">of </w:t>
      </w:r>
      <w:r w:rsidR="00477440" w:rsidRPr="00477440">
        <w:t>four</w:t>
      </w:r>
      <w:r w:rsidR="000518CD" w:rsidRPr="00477440">
        <w:t xml:space="preserve"> </w:t>
      </w:r>
      <w:r w:rsidR="00477440" w:rsidRPr="00477440">
        <w:t>(4)</w:t>
      </w:r>
      <w:r w:rsidR="000518CD">
        <w:t xml:space="preserve"> clients for whom the </w:t>
      </w:r>
      <w:r w:rsidR="00D92EF1">
        <w:t>Proposer</w:t>
      </w:r>
      <w:r w:rsidR="000518CD">
        <w:t xml:space="preserve"> has provided similar goods.  The </w:t>
      </w:r>
      <w:r w:rsidR="003A1B30">
        <w:t>AOC</w:t>
      </w:r>
      <w:r w:rsidR="000518CD">
        <w:t xml:space="preserve"> may check references listed by </w:t>
      </w:r>
      <w:r w:rsidR="00D92EF1">
        <w:t>Proposer</w:t>
      </w:r>
      <w:r w:rsidR="000518CD">
        <w:t>.</w:t>
      </w:r>
    </w:p>
    <w:p w:rsidR="00C041EE" w:rsidRDefault="00C041EE" w:rsidP="00595822">
      <w:pPr>
        <w:ind w:left="1440" w:hanging="720"/>
      </w:pPr>
    </w:p>
    <w:p w:rsidR="009336CA" w:rsidRDefault="00020DD8" w:rsidP="00595822">
      <w:pPr>
        <w:ind w:left="1440" w:hanging="720"/>
      </w:pPr>
      <w:proofErr w:type="gramStart"/>
      <w:r>
        <w:t>e</w:t>
      </w:r>
      <w:proofErr w:type="gramEnd"/>
      <w:r w:rsidR="00893C52">
        <w:t>.</w:t>
      </w:r>
      <w:r>
        <w:tab/>
      </w:r>
      <w:r w:rsidRPr="00020DD8">
        <w:rPr>
          <w:i/>
          <w:color w:val="FF0000"/>
        </w:rPr>
        <w:t xml:space="preserve"> </w:t>
      </w:r>
      <w:r w:rsidR="00893C52">
        <w:t>For each key staff member</w:t>
      </w:r>
      <w:r w:rsidR="007D7C58">
        <w:t xml:space="preserve"> who will work on the project</w:t>
      </w:r>
      <w:r w:rsidR="00893C52">
        <w:t>: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rsidR="009336CA" w:rsidRDefault="009336CA" w:rsidP="00595822">
      <w:pPr>
        <w:ind w:left="1440" w:hanging="720"/>
      </w:pPr>
    </w:p>
    <w:p w:rsidR="009336CA" w:rsidRDefault="009336CA" w:rsidP="00595822">
      <w:pPr>
        <w:ind w:left="1440" w:hanging="720"/>
      </w:pPr>
      <w:r w:rsidRPr="007D7C58">
        <w:t>f.</w:t>
      </w:r>
      <w:r w:rsidRPr="007D7C58">
        <w:tab/>
      </w:r>
      <w:r w:rsidR="00C82121" w:rsidRPr="007D7C58">
        <w:t>For the firm: a list of at least two (2) projects similar in scope and size demonstrating audiovisual integration and installation services are the core business for a period of no less than five (5) years.  Provide contact name and telephone number for one person at each project.</w:t>
      </w:r>
    </w:p>
    <w:p w:rsidR="009336CA" w:rsidRDefault="009336CA" w:rsidP="00595822">
      <w:pPr>
        <w:ind w:left="1440" w:hanging="720"/>
      </w:pPr>
    </w:p>
    <w:p w:rsidR="009336CA" w:rsidRDefault="00020DD8" w:rsidP="00595822">
      <w:pPr>
        <w:ind w:left="1440" w:hanging="720"/>
      </w:pPr>
      <w:proofErr w:type="gramStart"/>
      <w:r>
        <w:t>g</w:t>
      </w:r>
      <w:proofErr w:type="gramEnd"/>
      <w:r w:rsidR="00292053">
        <w:t>.</w:t>
      </w:r>
      <w:r w:rsidR="00595822">
        <w:tab/>
      </w:r>
      <w:r w:rsidR="00C277BD" w:rsidRPr="00C277BD">
        <w:rPr>
          <w:u w:val="single"/>
        </w:rPr>
        <w:t>By each location, Supreme Courtroom and Judicial Council Boardroom</w:t>
      </w:r>
      <w:r w:rsidR="008B1515">
        <w:rPr>
          <w:u w:val="single"/>
        </w:rPr>
        <w:t xml:space="preserve">: </w:t>
      </w:r>
      <w:r w:rsidR="00C277BD">
        <w:t xml:space="preserve"> p</w:t>
      </w:r>
      <w:r w:rsidR="00292053">
        <w:t>ropose</w:t>
      </w:r>
      <w:r w:rsidR="008B1515">
        <w:t>d</w:t>
      </w:r>
      <w:r w:rsidR="00292053">
        <w:t xml:space="preserve"> m</w:t>
      </w:r>
      <w:r w:rsidR="00595822">
        <w:t>ethod</w:t>
      </w:r>
      <w:r w:rsidR="00CD27F3">
        <w:t>s</w:t>
      </w:r>
      <w:r w:rsidR="00595822">
        <w:t xml:space="preserve"> to complete the </w:t>
      </w:r>
      <w:r w:rsidR="00292053">
        <w:t>work</w:t>
      </w:r>
      <w:r w:rsidR="00CD27F3">
        <w:t xml:space="preserve"> plan</w:t>
      </w:r>
      <w:r w:rsidR="00BB49DB">
        <w:t xml:space="preserve">, including a proposed functional drawing, a narrative description of the </w:t>
      </w:r>
      <w:r w:rsidR="00792747">
        <w:t>Work To Be Performed</w:t>
      </w:r>
      <w:r w:rsidR="009336CA">
        <w:t>, and a complete</w:t>
      </w:r>
      <w:r w:rsidR="00BB49DB">
        <w:t xml:space="preserve"> equipment list</w:t>
      </w:r>
      <w:r w:rsidR="009336CA">
        <w:t>.</w:t>
      </w:r>
      <w:r w:rsidR="00C277BD">
        <w:t xml:space="preserve">  </w:t>
      </w:r>
    </w:p>
    <w:p w:rsidR="009336CA" w:rsidRDefault="009336CA" w:rsidP="00595822">
      <w:pPr>
        <w:ind w:left="1440" w:hanging="720"/>
      </w:pPr>
    </w:p>
    <w:p w:rsidR="007B4D29" w:rsidRPr="001D3270" w:rsidRDefault="009336CA" w:rsidP="007D7C58">
      <w:pPr>
        <w:ind w:left="1440" w:hanging="720"/>
      </w:pPr>
      <w:r w:rsidRPr="001D3270">
        <w:t>h.</w:t>
      </w:r>
      <w:r w:rsidRPr="001D3270">
        <w:tab/>
        <w:t xml:space="preserve">Specify appropriate equipment/systems required to replace the obsolete systems and effectively interface and integrate with the remaining installed systems to achieve the required functionality per Room Descriptions in </w:t>
      </w:r>
      <w:r w:rsidR="00C82121" w:rsidRPr="001D3270">
        <w:t xml:space="preserve">Attachment 2, Terms and Conditions, Exhibit </w:t>
      </w:r>
      <w:r w:rsidR="004F0716" w:rsidRPr="001D3270">
        <w:t>D</w:t>
      </w:r>
      <w:r w:rsidR="00C82121" w:rsidRPr="001D3270">
        <w:t>, Work to Be Performed.</w:t>
      </w:r>
    </w:p>
    <w:p w:rsidR="007B4D29" w:rsidRDefault="007B4D29">
      <w:pPr>
        <w:ind w:left="720"/>
        <w:rPr>
          <w:b/>
        </w:rPr>
      </w:pPr>
    </w:p>
    <w:p w:rsidR="007B4D29" w:rsidRDefault="004F0716" w:rsidP="007D7C58">
      <w:pPr>
        <w:pStyle w:val="ListParagraph"/>
        <w:autoSpaceDE w:val="0"/>
        <w:autoSpaceDN w:val="0"/>
        <w:adjustRightInd w:val="0"/>
        <w:ind w:left="1440" w:hanging="720"/>
        <w:contextualSpacing/>
      </w:pPr>
      <w:r>
        <w:lastRenderedPageBreak/>
        <w:t>k.</w:t>
      </w:r>
      <w:r>
        <w:tab/>
      </w:r>
      <w:r w:rsidR="00C82121" w:rsidRPr="004F0716">
        <w:t>Provide a list of all manufacturers for which the firm is an authorized dealer/reseller.</w:t>
      </w:r>
    </w:p>
    <w:p w:rsidR="00B60F34" w:rsidRDefault="00B60F34" w:rsidP="00595822">
      <w:pPr>
        <w:ind w:left="2160" w:hanging="720"/>
      </w:pPr>
    </w:p>
    <w:p w:rsidR="00BD0D2D" w:rsidRDefault="004F0716" w:rsidP="007B0E96">
      <w:pPr>
        <w:pStyle w:val="ListParagraph"/>
        <w:tabs>
          <w:tab w:val="left" w:pos="1440"/>
        </w:tabs>
        <w:ind w:left="1440" w:hanging="720"/>
        <w:rPr>
          <w:color w:val="000000"/>
        </w:rPr>
      </w:pPr>
      <w:r>
        <w:rPr>
          <w:color w:val="000000" w:themeColor="text1"/>
        </w:rPr>
        <w:t>l</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 xml:space="preserve">Attachment </w:t>
      </w:r>
      <w:r w:rsidR="00BB49DB">
        <w:rPr>
          <w:color w:val="000000"/>
        </w:rPr>
        <w:t>3</w:t>
      </w:r>
      <w:r w:rsidRPr="00BD0D2D">
        <w:rPr>
          <w:color w:val="000000"/>
        </w:rPr>
        <w:t xml:space="preserve">, 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7B0E96">
      <w:pPr>
        <w:pStyle w:val="ListParagraph"/>
        <w:tabs>
          <w:tab w:val="left" w:pos="1440"/>
        </w:tabs>
        <w:ind w:left="1440" w:hanging="720"/>
        <w:rPr>
          <w:color w:val="000000" w:themeColor="text1"/>
        </w:rPr>
      </w:pPr>
    </w:p>
    <w:p w:rsidR="007B0E96" w:rsidRDefault="004F0716" w:rsidP="007B0E96">
      <w:pPr>
        <w:pStyle w:val="ListParagraph"/>
        <w:tabs>
          <w:tab w:val="left" w:pos="1440"/>
        </w:tabs>
        <w:ind w:left="1440" w:hanging="720"/>
        <w:rPr>
          <w:color w:val="000000" w:themeColor="text1"/>
        </w:rPr>
      </w:pPr>
      <w:r>
        <w:rPr>
          <w:color w:val="000000" w:themeColor="text1"/>
        </w:rPr>
        <w:t>m</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Pr="007D7C58" w:rsidRDefault="007B0E96" w:rsidP="007B0E96">
      <w:pPr>
        <w:ind w:left="1440" w:hanging="720"/>
      </w:pPr>
      <w:r w:rsidRPr="007D7C58">
        <w:tab/>
      </w:r>
      <w:proofErr w:type="spellStart"/>
      <w:r w:rsidRPr="007D7C58">
        <w:t>i</w:t>
      </w:r>
      <w:proofErr w:type="spellEnd"/>
      <w:r w:rsidRPr="007D7C58">
        <w:t>.</w:t>
      </w:r>
      <w:r w:rsidRPr="007D7C58">
        <w:tab/>
        <w:t>Proposer must include the following certification</w:t>
      </w:r>
      <w:r w:rsidR="004A70F2" w:rsidRPr="007D7C58">
        <w:t>s</w:t>
      </w:r>
      <w:r w:rsidRPr="007D7C58">
        <w:t xml:space="preserve"> in its proposal:</w:t>
      </w:r>
    </w:p>
    <w:p w:rsidR="007B0E96" w:rsidRPr="007D7C58" w:rsidRDefault="007B0E96" w:rsidP="007B0E96">
      <w:pPr>
        <w:ind w:left="2160" w:hanging="720"/>
      </w:pPr>
    </w:p>
    <w:p w:rsidR="00B8213C" w:rsidRPr="007D7C58" w:rsidRDefault="00B8213C" w:rsidP="00B8213C">
      <w:pPr>
        <w:pStyle w:val="BodyText"/>
        <w:tabs>
          <w:tab w:val="num" w:pos="2250"/>
        </w:tabs>
        <w:ind w:left="2160"/>
      </w:pPr>
      <w:r w:rsidRPr="007D7C58">
        <w:t xml:space="preserve">Proposer </w:t>
      </w:r>
      <w:r w:rsidR="00511CFB" w:rsidRPr="007D7C58">
        <w:t xml:space="preserve">certifies that it </w:t>
      </w:r>
      <w:r w:rsidRPr="007D7C58">
        <w:t xml:space="preserve">has no interest that would constitute a conflict of interest under California Public Contract Code sections 10365.5, 10410 or 10411; Government Code sections 1090 et seq. or </w:t>
      </w:r>
      <w:proofErr w:type="gramStart"/>
      <w:r w:rsidRPr="007D7C58">
        <w:t>87100 et seq.;</w:t>
      </w:r>
      <w:proofErr w:type="gramEnd"/>
      <w:r w:rsidRPr="007D7C58">
        <w:t xml:space="preserve"> or rule 10.103 or rule 10.104 of the California Rules of Court, which restrict employees and former employees from contracting with judicial branch entities.</w:t>
      </w:r>
    </w:p>
    <w:p w:rsidR="004A70F2" w:rsidRPr="007D7C58" w:rsidRDefault="004A70F2" w:rsidP="00B8213C">
      <w:pPr>
        <w:pStyle w:val="BodyText"/>
        <w:tabs>
          <w:tab w:val="num" w:pos="2250"/>
        </w:tabs>
        <w:ind w:left="2160"/>
      </w:pPr>
      <w:r w:rsidRPr="007D7C58">
        <w:t>Proposer certifies that either (</w:t>
      </w:r>
      <w:proofErr w:type="spellStart"/>
      <w:r w:rsidRPr="007D7C58">
        <w:t>i</w:t>
      </w:r>
      <w:proofErr w:type="spellEnd"/>
      <w:r w:rsidRPr="007D7C58">
        <w:t xml:space="preserve">) it is not a scrutinized company as defined in PCC 10490(b), or (ii) the goods or services the Proposer would provide to the </w:t>
      </w:r>
      <w:r w:rsidR="003A1B30" w:rsidRPr="007D7C58">
        <w:t>AOC</w:t>
      </w:r>
      <w:r w:rsidRPr="007D7C58">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B0E96" w:rsidRPr="007D7C58" w:rsidRDefault="007B0E96" w:rsidP="007B0E96">
      <w:pPr>
        <w:ind w:left="2160" w:hanging="720"/>
      </w:pPr>
    </w:p>
    <w:p w:rsidR="00F06F43" w:rsidRPr="007D7C58" w:rsidRDefault="00595811" w:rsidP="00A74DB8">
      <w:pPr>
        <w:ind w:left="2160" w:hanging="720"/>
        <w:rPr>
          <w:i/>
        </w:rPr>
      </w:pPr>
      <w:r w:rsidRPr="007D7C58">
        <w:t>i</w:t>
      </w:r>
      <w:r w:rsidR="00C00178" w:rsidRPr="007D7C58">
        <w:t>i</w:t>
      </w:r>
      <w:r w:rsidRPr="007D7C58">
        <w:t>.</w:t>
      </w:r>
      <w:r w:rsidRPr="007D7C58">
        <w:tab/>
      </w:r>
      <w:r w:rsidR="00D92EF1" w:rsidRPr="007D7C58">
        <w:rPr>
          <w:rFonts w:cs="Arial"/>
          <w:spacing w:val="-3"/>
        </w:rPr>
        <w:t>Proposer</w:t>
      </w:r>
      <w:r w:rsidR="006308E7" w:rsidRPr="007D7C58">
        <w:rPr>
          <w:rFonts w:cs="Arial"/>
          <w:spacing w:val="-3"/>
        </w:rPr>
        <w:t xml:space="preserve"> must submit with its </w:t>
      </w:r>
      <w:r w:rsidR="00D92EF1" w:rsidRPr="007D7C58">
        <w:rPr>
          <w:rFonts w:cs="Arial"/>
          <w:spacing w:val="-3"/>
        </w:rPr>
        <w:t>proposal</w:t>
      </w:r>
      <w:r w:rsidR="006308E7" w:rsidRPr="007D7C58">
        <w:rPr>
          <w:rFonts w:cs="Arial"/>
          <w:spacing w:val="-3"/>
        </w:rPr>
        <w:t>, for itself and each of its affiliates that make sales for delivery into California, a copy of either (</w:t>
      </w:r>
      <w:proofErr w:type="spellStart"/>
      <w:r w:rsidR="006308E7" w:rsidRPr="007D7C58">
        <w:rPr>
          <w:rFonts w:cs="Arial"/>
          <w:spacing w:val="-3"/>
        </w:rPr>
        <w:t>i</w:t>
      </w:r>
      <w:proofErr w:type="spellEnd"/>
      <w:r w:rsidR="006308E7" w:rsidRPr="007D7C58">
        <w:rPr>
          <w:rFonts w:cs="Arial"/>
          <w:spacing w:val="-3"/>
        </w:rPr>
        <w:t>) a California seller's permit issued under Revenue and Taxation Code section 6066 et seq. or (ii) a certificate of registration issued under Revenue and Taxation Code section 6226.</w:t>
      </w:r>
    </w:p>
    <w:p w:rsidR="00F06F43" w:rsidRPr="007D7C58" w:rsidRDefault="00F06F43" w:rsidP="00A74DB8">
      <w:pPr>
        <w:ind w:left="2160" w:hanging="720"/>
        <w:rPr>
          <w:i/>
        </w:rPr>
      </w:pPr>
    </w:p>
    <w:p w:rsidR="00A74DB8" w:rsidRPr="007D7C58" w:rsidRDefault="00B33A7B" w:rsidP="00A74DB8">
      <w:pPr>
        <w:ind w:left="2160" w:hanging="720"/>
      </w:pPr>
      <w:r w:rsidRPr="007D7C58">
        <w:t>iii</w:t>
      </w:r>
      <w:r w:rsidR="00F06F43" w:rsidRPr="007D7C58">
        <w:t>.</w:t>
      </w:r>
      <w:r w:rsidR="00F06F43" w:rsidRPr="007D7C58">
        <w:tab/>
      </w:r>
      <w:r w:rsidR="00FD2C41" w:rsidRPr="007D7C58">
        <w:rPr>
          <w:bCs/>
        </w:rPr>
        <w:t>If (</w:t>
      </w:r>
      <w:proofErr w:type="spellStart"/>
      <w:r w:rsidR="00FD2C41" w:rsidRPr="007D7C58">
        <w:rPr>
          <w:bCs/>
        </w:rPr>
        <w:t>i</w:t>
      </w:r>
      <w:proofErr w:type="spellEnd"/>
      <w:r w:rsidR="00FD2C41" w:rsidRPr="007D7C58">
        <w:rPr>
          <w:bCs/>
        </w:rPr>
        <w:t xml:space="preserve">) Proposer is a corporation, limited liability </w:t>
      </w:r>
      <w:proofErr w:type="gramStart"/>
      <w:r w:rsidR="00FD2C41" w:rsidRPr="007D7C58">
        <w:rPr>
          <w:bCs/>
        </w:rPr>
        <w:t>company</w:t>
      </w:r>
      <w:proofErr w:type="gramEnd"/>
      <w:r w:rsidR="00FD2C41" w:rsidRPr="007D7C58">
        <w:rPr>
          <w:bCs/>
        </w:rPr>
        <w:t>, or limited partnership</w:t>
      </w:r>
      <w:r w:rsidR="00FD2C41" w:rsidRPr="007D7C58">
        <w:t xml:space="preserve">, and (ii) the agreement resulting from this RFP will be </w:t>
      </w:r>
      <w:r w:rsidR="00FD2C41" w:rsidRPr="007D7C58">
        <w:lastRenderedPageBreak/>
        <w:t>performed in California</w:t>
      </w:r>
      <w:r w:rsidR="00FD2C41" w:rsidRPr="007D7C58">
        <w:rPr>
          <w:bCs/>
        </w:rPr>
        <w:t xml:space="preserve">, </w:t>
      </w:r>
      <w:r w:rsidR="00FD2C41" w:rsidRPr="007D7C58">
        <w:t xml:space="preserve">proof </w:t>
      </w:r>
      <w:r w:rsidR="00B60F34" w:rsidRPr="007D7C58">
        <w:t>that Proposer is in good standing and qualified to conduct business in California.</w:t>
      </w:r>
    </w:p>
    <w:p w:rsidR="00A74DB8" w:rsidRPr="007D7C58" w:rsidRDefault="00A74DB8" w:rsidP="00A74DB8">
      <w:pPr>
        <w:ind w:left="2160" w:hanging="720"/>
      </w:pPr>
    </w:p>
    <w:p w:rsidR="00A74DB8" w:rsidRDefault="00B33A7B" w:rsidP="00A74DB8">
      <w:pPr>
        <w:ind w:left="2160" w:hanging="720"/>
        <w:rPr>
          <w:rFonts w:cs="Arial"/>
          <w:spacing w:val="-3"/>
        </w:rPr>
      </w:pPr>
      <w:r w:rsidRPr="007D7C58">
        <w:t>i</w:t>
      </w:r>
      <w:r w:rsidR="00A74DB8" w:rsidRPr="007D7C58">
        <w:t>v.</w:t>
      </w:r>
      <w:r w:rsidR="00A74DB8" w:rsidRPr="007D7C58">
        <w:tab/>
      </w:r>
      <w:r w:rsidR="00A74DB8" w:rsidRPr="007D7C58">
        <w:rPr>
          <w:rFonts w:cs="Arial"/>
          <w:spacing w:val="-3"/>
        </w:rPr>
        <w:t>Copies of current business licenses, professional certifications, or other</w:t>
      </w:r>
      <w:r w:rsidR="00A74DB8" w:rsidRPr="00A96548">
        <w:rPr>
          <w:rFonts w:cs="Arial"/>
          <w:spacing w:val="-3"/>
        </w:rPr>
        <w:t xml:space="preserve"> credentials</w:t>
      </w:r>
      <w:r w:rsidR="00A74DB8">
        <w:rPr>
          <w:rFonts w:cs="Arial"/>
          <w:spacing w:val="-3"/>
        </w:rPr>
        <w:t>.</w:t>
      </w:r>
      <w:r w:rsidR="00F06F43">
        <w:rPr>
          <w:rFonts w:cs="Arial"/>
          <w:spacing w:val="-3"/>
        </w:rPr>
        <w:t xml:space="preserve">  </w:t>
      </w:r>
    </w:p>
    <w:p w:rsidR="00A74DB8" w:rsidRDefault="00A74DB8" w:rsidP="00A74DB8">
      <w:pPr>
        <w:ind w:left="2160" w:hanging="720"/>
        <w:rPr>
          <w:rFonts w:cs="Arial"/>
          <w:spacing w:val="-3"/>
        </w:rPr>
      </w:pPr>
    </w:p>
    <w:p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rsidR="001D3270" w:rsidRDefault="001D3270" w:rsidP="00A74DB8">
      <w:pPr>
        <w:ind w:left="2160" w:hanging="720"/>
        <w:rPr>
          <w:rFonts w:cs="Arial"/>
          <w:spacing w:val="-3"/>
        </w:rPr>
      </w:pPr>
    </w:p>
    <w:p w:rsidR="001D3270" w:rsidRPr="001D3270" w:rsidRDefault="001D3270" w:rsidP="001D3270">
      <w:pPr>
        <w:ind w:left="2160" w:hanging="720"/>
        <w:rPr>
          <w:rFonts w:cs="Arial"/>
          <w:spacing w:val="-3"/>
        </w:rPr>
      </w:pPr>
      <w:proofErr w:type="gramStart"/>
      <w:r>
        <w:rPr>
          <w:rFonts w:cs="Arial"/>
          <w:spacing w:val="-3"/>
        </w:rPr>
        <w:t>vi</w:t>
      </w:r>
      <w:proofErr w:type="gramEnd"/>
      <w:r>
        <w:rPr>
          <w:rFonts w:cs="Arial"/>
          <w:spacing w:val="-3"/>
        </w:rPr>
        <w:tab/>
      </w:r>
      <w:r w:rsidRPr="001D3270">
        <w:rPr>
          <w:rFonts w:cs="Arial"/>
          <w:spacing w:val="-3"/>
        </w:rPr>
        <w:t xml:space="preserve">Submit confirmation of current state C-7 contracting licenses and union affiliations as required to complete the work. </w:t>
      </w:r>
    </w:p>
    <w:p w:rsidR="001D3270" w:rsidRPr="001D3270" w:rsidRDefault="001D3270" w:rsidP="001D3270">
      <w:pPr>
        <w:ind w:left="2160" w:hanging="720"/>
        <w:rPr>
          <w:rFonts w:cs="Arial"/>
          <w:spacing w:val="-3"/>
        </w:rPr>
      </w:pPr>
    </w:p>
    <w:p w:rsidR="001D3270" w:rsidRPr="001D3270" w:rsidRDefault="001D3270" w:rsidP="001D3270">
      <w:pPr>
        <w:ind w:left="2160" w:hanging="720"/>
        <w:rPr>
          <w:rFonts w:cs="Arial"/>
          <w:spacing w:val="-3"/>
        </w:rPr>
      </w:pPr>
      <w:r>
        <w:rPr>
          <w:rFonts w:cs="Arial"/>
          <w:spacing w:val="-3"/>
        </w:rPr>
        <w:t>vii</w:t>
      </w:r>
      <w:r w:rsidRPr="001D3270">
        <w:rPr>
          <w:rFonts w:cs="Arial"/>
          <w:spacing w:val="-3"/>
        </w:rPr>
        <w:t>.</w:t>
      </w:r>
      <w:r w:rsidRPr="001D3270">
        <w:rPr>
          <w:rFonts w:cs="Arial"/>
          <w:spacing w:val="-3"/>
        </w:rPr>
        <w:tab/>
        <w:t>Provide company-held industry certifications or designations for manufacturers specified in the project.</w:t>
      </w:r>
    </w:p>
    <w:p w:rsidR="00D02926" w:rsidRDefault="00D02926" w:rsidP="00A74DB8">
      <w:pPr>
        <w:ind w:left="2160" w:hanging="720"/>
        <w:rPr>
          <w:rFonts w:cs="Arial"/>
          <w:spacing w:val="-3"/>
        </w:rPr>
      </w:pPr>
    </w:p>
    <w:p w:rsidR="005B04DF" w:rsidRPr="00D33EA6" w:rsidRDefault="00512CCE" w:rsidP="005B04DF">
      <w:pPr>
        <w:pStyle w:val="BodyTextIndent2"/>
        <w:keepNext/>
        <w:spacing w:after="0" w:line="240" w:lineRule="auto"/>
        <w:ind w:left="72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rsidR="00595822" w:rsidRDefault="00595822" w:rsidP="00595822">
      <w:pPr>
        <w:ind w:left="2160" w:hanging="720"/>
      </w:pPr>
    </w:p>
    <w:p w:rsidR="00C40C8B" w:rsidRDefault="008921CD" w:rsidP="001D3270">
      <w:pPr>
        <w:pStyle w:val="ListParagraph"/>
        <w:widowControl w:val="0"/>
        <w:numPr>
          <w:ilvl w:val="0"/>
          <w:numId w:val="19"/>
        </w:numPr>
        <w:ind w:left="1710" w:right="144" w:hanging="450"/>
        <w:jc w:val="both"/>
      </w:pPr>
      <w:r>
        <w:t>AV Components and parts</w:t>
      </w:r>
      <w:r w:rsidR="00C40C8B">
        <w:t>:</w:t>
      </w:r>
      <w:r w:rsidR="001D3270">
        <w:t xml:space="preserve"> </w:t>
      </w:r>
    </w:p>
    <w:p w:rsidR="008921CD" w:rsidRDefault="008921CD" w:rsidP="008921CD">
      <w:pPr>
        <w:widowControl w:val="0"/>
        <w:ind w:left="1260" w:right="144"/>
        <w:jc w:val="both"/>
      </w:pPr>
    </w:p>
    <w:p w:rsidR="00C40C8B" w:rsidRDefault="00904E74" w:rsidP="008921CD">
      <w:pPr>
        <w:pStyle w:val="ListParagraph"/>
        <w:numPr>
          <w:ilvl w:val="0"/>
          <w:numId w:val="27"/>
        </w:numPr>
      </w:pPr>
      <w:r>
        <w:t>For e</w:t>
      </w:r>
      <w:r w:rsidR="008921CD">
        <w:t>ach AV component and part</w:t>
      </w:r>
      <w:r>
        <w:t xml:space="preserve"> you are proposing to be</w:t>
      </w:r>
      <w:r w:rsidR="008921CD">
        <w:t xml:space="preserve"> procured, using the Excel spreadsheet Attachment 7-</w:t>
      </w:r>
      <w:r>
        <w:t>a</w:t>
      </w:r>
      <w:r w:rsidR="008921CD">
        <w:t>, provide the product description, manufacturer, model, quantity, unit price, extended amount, taxes, delivery costs and not to exceed total.</w:t>
      </w:r>
    </w:p>
    <w:p w:rsidR="00C277BD" w:rsidRDefault="00C277BD" w:rsidP="008921CD">
      <w:pPr>
        <w:pStyle w:val="ListParagraph"/>
        <w:numPr>
          <w:ilvl w:val="0"/>
          <w:numId w:val="27"/>
        </w:numPr>
      </w:pPr>
      <w:r>
        <w:t>Transfer the not to exceed total to Attachment 7 under Deliverable 2a</w:t>
      </w:r>
    </w:p>
    <w:p w:rsidR="008921CD" w:rsidRDefault="008921CD" w:rsidP="008921CD">
      <w:pPr>
        <w:pStyle w:val="ListParagraph"/>
        <w:numPr>
          <w:ilvl w:val="0"/>
          <w:numId w:val="27"/>
        </w:numPr>
      </w:pPr>
      <w:r>
        <w:t>Provide justification regarding your selection of a particular manufacture and model.</w:t>
      </w:r>
    </w:p>
    <w:p w:rsidR="00C40C8B" w:rsidRDefault="00C40C8B" w:rsidP="00595822">
      <w:pPr>
        <w:ind w:left="2160" w:hanging="720"/>
      </w:pPr>
    </w:p>
    <w:p w:rsidR="001C18B0" w:rsidRPr="009336CA" w:rsidRDefault="00C82121" w:rsidP="001C18B0">
      <w:pPr>
        <w:pStyle w:val="ListParagraph"/>
        <w:widowControl w:val="0"/>
        <w:numPr>
          <w:ilvl w:val="0"/>
          <w:numId w:val="19"/>
        </w:numPr>
        <w:ind w:left="1710" w:right="144" w:hanging="450"/>
        <w:jc w:val="both"/>
      </w:pPr>
      <w:r w:rsidRPr="00C82121">
        <w:t>Integration Services</w:t>
      </w:r>
    </w:p>
    <w:p w:rsidR="001C18B0" w:rsidRPr="007B2785" w:rsidRDefault="001C18B0" w:rsidP="001C18B0">
      <w:pPr>
        <w:pStyle w:val="ListParagraph"/>
        <w:widowControl w:val="0"/>
        <w:ind w:left="1710" w:right="144"/>
        <w:jc w:val="both"/>
      </w:pPr>
    </w:p>
    <w:p w:rsidR="001C18B0" w:rsidRPr="007B2785" w:rsidRDefault="00D862C4" w:rsidP="00C277BD">
      <w:pPr>
        <w:pStyle w:val="ListParagraph"/>
        <w:widowControl w:val="0"/>
        <w:numPr>
          <w:ilvl w:val="0"/>
          <w:numId w:val="20"/>
        </w:numPr>
        <w:ind w:right="144"/>
      </w:pPr>
      <w:r>
        <w:t>Using Attachment 7, for Deliverables 1, 2b, 3, 4, and 5, t</w:t>
      </w:r>
      <w:r w:rsidR="001C18B0" w:rsidRPr="007B2785">
        <w:t xml:space="preserve">he Proposer is to provide cost </w:t>
      </w:r>
      <w:r w:rsidR="00C277BD">
        <w:t>elements</w:t>
      </w:r>
      <w:r>
        <w:t>, including</w:t>
      </w:r>
      <w:r w:rsidRPr="007B2785">
        <w:t xml:space="preserve"> labor, benefits, expenses, markups, overhead, and profits, necessary to </w:t>
      </w:r>
      <w:r>
        <w:t>arrive at each firm fixed priced Deliverable.</w:t>
      </w:r>
      <w:r w:rsidR="001C18B0" w:rsidRPr="007B2785">
        <w:t xml:space="preserve"> </w:t>
      </w:r>
    </w:p>
    <w:p w:rsidR="001C18B0" w:rsidRDefault="001C18B0" w:rsidP="00C277BD">
      <w:pPr>
        <w:ind w:left="2160" w:hanging="720"/>
      </w:pPr>
    </w:p>
    <w:p w:rsidR="00246470" w:rsidRDefault="00246470" w:rsidP="00C277BD">
      <w:pPr>
        <w:ind w:left="2880" w:hanging="720"/>
      </w:pPr>
      <w:proofErr w:type="spellStart"/>
      <w:r>
        <w:t>i</w:t>
      </w:r>
      <w:proofErr w:type="spellEnd"/>
      <w:r>
        <w:t>.</w:t>
      </w:r>
      <w:r>
        <w:tab/>
      </w:r>
      <w:r w:rsidR="00D862C4">
        <w:t>Using Attachment 7, p</w:t>
      </w:r>
      <w:r w:rsidR="009336CA" w:rsidRPr="00F503C4">
        <w:t xml:space="preserve">rovide </w:t>
      </w:r>
      <w:proofErr w:type="gramStart"/>
      <w:r w:rsidR="00820F61">
        <w:t>your</w:t>
      </w:r>
      <w:proofErr w:type="gramEnd"/>
      <w:r w:rsidR="00820F61">
        <w:t xml:space="preserve"> not to exceed total for Deliverables 1, 2b, 3, 4, and 5.</w:t>
      </w:r>
    </w:p>
    <w:p w:rsidR="00246470" w:rsidRDefault="00246470" w:rsidP="00C277BD">
      <w:pPr>
        <w:ind w:left="2880" w:hanging="720"/>
      </w:pPr>
    </w:p>
    <w:p w:rsidR="00246470" w:rsidRDefault="00246470" w:rsidP="00C277BD">
      <w:pPr>
        <w:ind w:left="2880" w:hanging="720"/>
      </w:pPr>
      <w:r>
        <w:t>ii.</w:t>
      </w:r>
      <w:r>
        <w:tab/>
      </w:r>
      <w:r w:rsidR="00D862C4">
        <w:t>For each Deliverable, provide a</w:t>
      </w:r>
      <w:r>
        <w:t xml:space="preserve"> full explanation of all budget line items in a narrative entitled “</w:t>
      </w:r>
      <w:r w:rsidR="00D862C4">
        <w:t>Justification</w:t>
      </w:r>
      <w:r>
        <w:t>.”</w:t>
      </w:r>
    </w:p>
    <w:p w:rsidR="00246470" w:rsidRDefault="00246470" w:rsidP="00C277BD">
      <w:pPr>
        <w:ind w:left="2880" w:hanging="720"/>
      </w:pPr>
    </w:p>
    <w:p w:rsidR="007B4D29" w:rsidRDefault="00D862C4" w:rsidP="00820F61">
      <w:pPr>
        <w:pStyle w:val="ListParagraph"/>
        <w:widowControl w:val="0"/>
        <w:numPr>
          <w:ilvl w:val="0"/>
          <w:numId w:val="19"/>
        </w:numPr>
        <w:ind w:left="1710" w:right="144" w:hanging="450"/>
        <w:jc w:val="both"/>
      </w:pPr>
      <w:r>
        <w:t xml:space="preserve">Using Attachment 7, provide a not to exceed total for </w:t>
      </w:r>
      <w:r w:rsidR="005F5C25">
        <w:t xml:space="preserve">all </w:t>
      </w:r>
      <w:r>
        <w:t>Deliverables.</w:t>
      </w:r>
    </w:p>
    <w:p w:rsidR="007B4D29" w:rsidRDefault="007B4D29" w:rsidP="00C277BD">
      <w:pPr>
        <w:pStyle w:val="ListParagraph"/>
        <w:ind w:left="2880"/>
      </w:pPr>
    </w:p>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lastRenderedPageBreak/>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3A1B30">
        <w:t>AOC</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FF6693" w:rsidRPr="007B2785" w:rsidRDefault="00FF6693" w:rsidP="00FF6693">
      <w:pPr>
        <w:pStyle w:val="ListParagraph"/>
        <w:widowControl w:val="0"/>
        <w:ind w:right="144"/>
        <w:jc w:val="both"/>
      </w:pPr>
      <w:r w:rsidRPr="007B2785">
        <w:t xml:space="preserve">The cost portion of proposals will be publicly opened on the </w:t>
      </w:r>
      <w:proofErr w:type="gramStart"/>
      <w:r w:rsidRPr="007B2785">
        <w:t>date,</w:t>
      </w:r>
      <w:proofErr w:type="gramEnd"/>
      <w:r w:rsidRPr="007B2785">
        <w:t xml:space="preserve"> time and location set forth in the Notice posted to the Court’s Website (see Section 4.1). At the time proposals are opened, each proposal will be checked for the presence or absence of the required proposal contents.  </w:t>
      </w:r>
    </w:p>
    <w:p w:rsidR="00FF6693" w:rsidRPr="007B2785" w:rsidRDefault="00FF6693" w:rsidP="00FF6693">
      <w:pPr>
        <w:widowControl w:val="0"/>
        <w:ind w:left="720" w:right="144"/>
        <w:jc w:val="both"/>
      </w:pPr>
      <w:r w:rsidRPr="007B2785">
        <w:t xml:space="preserve">  </w:t>
      </w:r>
    </w:p>
    <w:p w:rsidR="00FF6693" w:rsidRPr="007B2785" w:rsidRDefault="00FF6693" w:rsidP="00FF6693">
      <w:pPr>
        <w:numPr>
          <w:ilvl w:val="1"/>
          <w:numId w:val="21"/>
        </w:numPr>
        <w:spacing w:after="240"/>
        <w:ind w:right="144"/>
        <w:contextualSpacing/>
        <w:jc w:val="both"/>
      </w:pPr>
      <w:r w:rsidRPr="007B2785">
        <w:t>Proposals that contain false or misleading statements may be rejected if, in the opinion of the AOC, the information was intended to mislead the state regarding a requirement of the solicitation document.</w:t>
      </w:r>
    </w:p>
    <w:p w:rsidR="00FF6693" w:rsidRPr="007B2785" w:rsidRDefault="00FF6693" w:rsidP="00FF6693">
      <w:pPr>
        <w:spacing w:after="240"/>
        <w:ind w:left="1440" w:right="144"/>
        <w:contextualSpacing/>
        <w:jc w:val="both"/>
        <w:rPr>
          <w:sz w:val="12"/>
          <w:szCs w:val="12"/>
        </w:rPr>
      </w:pPr>
    </w:p>
    <w:p w:rsidR="00FF6693" w:rsidRPr="007B2785" w:rsidRDefault="00FF6693" w:rsidP="00FF6693">
      <w:pPr>
        <w:numPr>
          <w:ilvl w:val="1"/>
          <w:numId w:val="21"/>
        </w:numPr>
        <w:spacing w:after="240"/>
        <w:ind w:right="144"/>
        <w:contextualSpacing/>
        <w:jc w:val="both"/>
      </w:pPr>
      <w:r w:rsidRPr="007B2785">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also cause a proposal to be rejected.</w:t>
      </w:r>
    </w:p>
    <w:p w:rsidR="00FF6693" w:rsidRPr="007B2785" w:rsidRDefault="00FF6693" w:rsidP="00FF6693">
      <w:pPr>
        <w:spacing w:after="240"/>
        <w:ind w:left="1440" w:right="144"/>
        <w:contextualSpacing/>
        <w:jc w:val="both"/>
        <w:rPr>
          <w:sz w:val="12"/>
          <w:szCs w:val="12"/>
        </w:rPr>
      </w:pPr>
    </w:p>
    <w:p w:rsidR="00FF6693" w:rsidRPr="007B2785" w:rsidRDefault="00FF6693" w:rsidP="00FF6693">
      <w:pPr>
        <w:numPr>
          <w:ilvl w:val="1"/>
          <w:numId w:val="21"/>
        </w:numPr>
        <w:spacing w:after="240"/>
        <w:ind w:right="144"/>
        <w:contextualSpacing/>
        <w:jc w:val="both"/>
      </w:pPr>
      <w:r w:rsidRPr="007B2785">
        <w:t>Cost sheets will be checked only if a proposal is determined to be otherwise qualified. All figures entered on the cost sheets must be clearly legible.</w:t>
      </w:r>
    </w:p>
    <w:p w:rsidR="00FF6693" w:rsidRPr="007B2785" w:rsidRDefault="00FF6693" w:rsidP="00FF6693">
      <w:pPr>
        <w:spacing w:after="240"/>
        <w:ind w:left="1440" w:right="144"/>
        <w:contextualSpacing/>
        <w:jc w:val="both"/>
        <w:rPr>
          <w:sz w:val="12"/>
          <w:szCs w:val="12"/>
        </w:rPr>
      </w:pPr>
    </w:p>
    <w:p w:rsidR="00FF6693" w:rsidRPr="007B2785" w:rsidRDefault="00FF6693" w:rsidP="00FF6693">
      <w:pPr>
        <w:numPr>
          <w:ilvl w:val="1"/>
          <w:numId w:val="21"/>
        </w:numPr>
        <w:spacing w:after="240"/>
        <w:ind w:right="144"/>
        <w:contextualSpacing/>
        <w:jc w:val="both"/>
      </w:pPr>
      <w:r w:rsidRPr="007B2785">
        <w:t>During the evaluation process, the AOC may require a Proposer's representative to answer questions with regard to the Proposer’s proposal. Failure of a Proposer to respond and demonstrate in a timely manner that the claims made in its proposal are, in fact, true may be sufficient cause for deeming a proposal nonresponsive.</w:t>
      </w:r>
    </w:p>
    <w:p w:rsidR="00626AC2" w:rsidRDefault="00626AC2" w:rsidP="00F95B39">
      <w:pPr>
        <w:widowControl w:val="0"/>
        <w:ind w:left="720"/>
      </w:pPr>
    </w:p>
    <w:p w:rsidR="007B4D29" w:rsidRDefault="00BD65B9">
      <w:pPr>
        <w:pStyle w:val="ListParagraph"/>
        <w:widowControl w:val="0"/>
        <w:numPr>
          <w:ilvl w:val="0"/>
          <w:numId w:val="22"/>
        </w:numPr>
        <w:ind w:left="1080"/>
      </w:pPr>
      <w:r>
        <w:t xml:space="preserve">The </w:t>
      </w:r>
      <w:r w:rsidR="003A1B30">
        <w:t>AOC</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rsidR="007B4D29" w:rsidRDefault="007B4D29">
      <w:pPr>
        <w:widowControl w:val="0"/>
        <w:ind w:left="360"/>
      </w:pPr>
    </w:p>
    <w:p w:rsidR="007B4D29" w:rsidRDefault="00F95B39">
      <w:pPr>
        <w:pStyle w:val="ListParagraph"/>
        <w:widowControl w:val="0"/>
        <w:numPr>
          <w:ilvl w:val="0"/>
          <w:numId w:val="22"/>
        </w:numPr>
        <w:ind w:left="1080"/>
        <w:rPr>
          <w:bCs/>
        </w:rPr>
      </w:pPr>
      <w:r w:rsidRPr="00FF6693">
        <w:rPr>
          <w:bCs/>
        </w:rPr>
        <w:t xml:space="preserve">If a contract will be awarded, the </w:t>
      </w:r>
      <w:r w:rsidR="003A1B30" w:rsidRPr="00FF6693">
        <w:rPr>
          <w:bCs/>
        </w:rPr>
        <w:t>AOC</w:t>
      </w:r>
      <w:r w:rsidRPr="00FF6693">
        <w:rPr>
          <w:bCs/>
        </w:rPr>
        <w:t xml:space="preserve"> will post an intent</w:t>
      </w:r>
      <w:r w:rsidR="00077328" w:rsidRPr="00FF6693">
        <w:rPr>
          <w:bCs/>
        </w:rPr>
        <w:t>-to-</w:t>
      </w:r>
      <w:r w:rsidRPr="00FF6693">
        <w:rPr>
          <w:bCs/>
        </w:rPr>
        <w:t xml:space="preserve">award notice at </w:t>
      </w:r>
      <w:hyperlink r:id="rId13" w:history="1">
        <w:r w:rsidR="00E005CE" w:rsidRPr="00FF6693">
          <w:rPr>
            <w:rStyle w:val="Hyperlink"/>
            <w:rFonts w:eastAsiaTheme="minorEastAsia"/>
            <w:sz w:val="22"/>
            <w:szCs w:val="22"/>
          </w:rPr>
          <w:t>www.courts.ca.gov/rfps.htm</w:t>
        </w:r>
      </w:hyperlink>
      <w:r w:rsidRPr="00FF6693">
        <w:rPr>
          <w:bCs/>
        </w:rPr>
        <w:t>.</w:t>
      </w:r>
    </w:p>
    <w:p w:rsidR="00077328" w:rsidRDefault="00077328" w:rsidP="007C5D81">
      <w:pPr>
        <w:widowControl w:val="0"/>
        <w:ind w:left="720"/>
        <w:rPr>
          <w:bCs/>
        </w:rPr>
      </w:pPr>
    </w:p>
    <w:p w:rsidR="007E7522" w:rsidRDefault="007E7522" w:rsidP="007C5D81">
      <w:pPr>
        <w:widowControl w:val="0"/>
        <w:ind w:left="720"/>
        <w:rPr>
          <w:bCs/>
        </w:rPr>
      </w:pPr>
    </w:p>
    <w:tbl>
      <w:tblPr>
        <w:tblW w:w="7764" w:type="dxa"/>
        <w:jc w:val="center"/>
        <w:tblLook w:val="04A0"/>
      </w:tblPr>
      <w:tblGrid>
        <w:gridCol w:w="4518"/>
        <w:gridCol w:w="1623"/>
        <w:gridCol w:w="1623"/>
      </w:tblGrid>
      <w:tr w:rsidR="00086D31" w:rsidRPr="007B2785" w:rsidTr="00086D31">
        <w:trPr>
          <w:trHeight w:val="428"/>
          <w:tblHeader/>
          <w:jc w:val="center"/>
        </w:trPr>
        <w:tc>
          <w:tcPr>
            <w:tcW w:w="4518"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086D31" w:rsidRPr="007B2785" w:rsidRDefault="00086D31" w:rsidP="00077328">
            <w:pPr>
              <w:rPr>
                <w:rFonts w:asciiTheme="minorHAnsi" w:hAnsiTheme="minorHAnsi" w:cstheme="minorHAnsi"/>
                <w:b/>
                <w:bCs/>
                <w:sz w:val="22"/>
                <w:szCs w:val="22"/>
              </w:rPr>
            </w:pPr>
            <w:r>
              <w:rPr>
                <w:rFonts w:asciiTheme="minorHAnsi" w:hAnsiTheme="minorHAnsi" w:cstheme="minorHAnsi"/>
                <w:b/>
                <w:bCs/>
                <w:sz w:val="22"/>
                <w:szCs w:val="22"/>
              </w:rPr>
              <w:t>CRITERION</w:t>
            </w:r>
          </w:p>
        </w:tc>
        <w:tc>
          <w:tcPr>
            <w:tcW w:w="1623"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086D31" w:rsidRPr="007B2785" w:rsidRDefault="00086D31" w:rsidP="00077328">
            <w:pPr>
              <w:ind w:left="-94" w:right="-108"/>
              <w:jc w:val="center"/>
              <w:rPr>
                <w:rFonts w:asciiTheme="minorHAnsi" w:hAnsiTheme="minorHAnsi" w:cstheme="minorHAnsi"/>
                <w:b/>
                <w:bCs/>
                <w:sz w:val="22"/>
                <w:szCs w:val="22"/>
              </w:rPr>
            </w:pPr>
            <w:r>
              <w:rPr>
                <w:rFonts w:asciiTheme="minorHAnsi" w:hAnsiTheme="minorHAnsi" w:cstheme="minorHAnsi"/>
                <w:b/>
                <w:bCs/>
                <w:sz w:val="22"/>
                <w:szCs w:val="22"/>
              </w:rPr>
              <w:t xml:space="preserve">Maximum </w:t>
            </w:r>
            <w:r w:rsidRPr="007B2785">
              <w:rPr>
                <w:rFonts w:asciiTheme="minorHAnsi" w:hAnsiTheme="minorHAnsi" w:cstheme="minorHAnsi"/>
                <w:b/>
                <w:bCs/>
                <w:sz w:val="22"/>
                <w:szCs w:val="22"/>
              </w:rPr>
              <w:t>Possible Points</w:t>
            </w:r>
          </w:p>
        </w:tc>
        <w:tc>
          <w:tcPr>
            <w:tcW w:w="1623" w:type="dxa"/>
            <w:tcBorders>
              <w:top w:val="single" w:sz="8" w:space="0" w:color="auto"/>
              <w:left w:val="nil"/>
              <w:bottom w:val="single" w:sz="8" w:space="0" w:color="auto"/>
              <w:right w:val="single" w:sz="8" w:space="0" w:color="auto"/>
            </w:tcBorders>
            <w:shd w:val="clear" w:color="auto" w:fill="F2F2F2" w:themeFill="background1" w:themeFillShade="F2"/>
          </w:tcPr>
          <w:p w:rsidR="00086D31" w:rsidRDefault="00086D31" w:rsidP="00077328">
            <w:pPr>
              <w:ind w:left="-94" w:right="-108"/>
              <w:jc w:val="center"/>
              <w:rPr>
                <w:rFonts w:asciiTheme="minorHAnsi" w:hAnsiTheme="minorHAnsi" w:cstheme="minorHAnsi"/>
                <w:b/>
                <w:bCs/>
                <w:sz w:val="22"/>
                <w:szCs w:val="22"/>
              </w:rPr>
            </w:pPr>
            <w:r>
              <w:rPr>
                <w:rFonts w:asciiTheme="minorHAnsi" w:hAnsiTheme="minorHAnsi" w:cstheme="minorHAnsi"/>
                <w:b/>
                <w:bCs/>
                <w:sz w:val="22"/>
                <w:szCs w:val="22"/>
              </w:rPr>
              <w:t>Section</w:t>
            </w:r>
          </w:p>
        </w:tc>
      </w:tr>
      <w:tr w:rsidR="00086D31" w:rsidRPr="007B2785" w:rsidTr="00086D31">
        <w:trPr>
          <w:trHeight w:val="341"/>
          <w:jc w:val="center"/>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rPr>
                <w:bCs/>
                <w:sz w:val="22"/>
                <w:szCs w:val="22"/>
              </w:rPr>
            </w:pPr>
            <w:r w:rsidRPr="007B2785">
              <w:rPr>
                <w:sz w:val="22"/>
                <w:szCs w:val="22"/>
              </w:rPr>
              <w:t xml:space="preserve">Cost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tabs>
                <w:tab w:val="left" w:pos="2178"/>
              </w:tabs>
              <w:jc w:val="center"/>
              <w:rPr>
                <w:b/>
                <w:bCs/>
                <w:sz w:val="22"/>
                <w:szCs w:val="22"/>
              </w:rPr>
            </w:pPr>
            <w:r w:rsidRPr="007B2785">
              <w:rPr>
                <w:b/>
                <w:bCs/>
                <w:sz w:val="22"/>
                <w:szCs w:val="22"/>
              </w:rPr>
              <w:t>50</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B2785" w:rsidRDefault="00086D31" w:rsidP="00077328">
            <w:pPr>
              <w:widowControl w:val="0"/>
              <w:tabs>
                <w:tab w:val="left" w:pos="2178"/>
              </w:tabs>
              <w:jc w:val="center"/>
              <w:rPr>
                <w:b/>
                <w:bCs/>
                <w:sz w:val="22"/>
                <w:szCs w:val="22"/>
              </w:rPr>
            </w:pPr>
            <w:r>
              <w:rPr>
                <w:b/>
                <w:bCs/>
                <w:sz w:val="22"/>
                <w:szCs w:val="22"/>
              </w:rPr>
              <w:t>8.2</w:t>
            </w:r>
          </w:p>
        </w:tc>
      </w:tr>
      <w:tr w:rsidR="00086D31" w:rsidRPr="007B2785" w:rsidTr="00086D31">
        <w:trPr>
          <w:trHeight w:val="341"/>
          <w:jc w:val="center"/>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rPr>
                <w:bCs/>
                <w:sz w:val="22"/>
                <w:szCs w:val="22"/>
              </w:rPr>
            </w:pPr>
            <w:r w:rsidRPr="007B2785">
              <w:rPr>
                <w:sz w:val="22"/>
                <w:szCs w:val="22"/>
              </w:rPr>
              <w:lastRenderedPageBreak/>
              <w:t>Quality of work plan submitted</w:t>
            </w:r>
            <w:r w:rsidRPr="007B2785" w:rsidDel="00E111E1">
              <w:rPr>
                <w:sz w:val="22"/>
                <w:szCs w:val="22"/>
              </w:rPr>
              <w:t xml:space="preserve">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tabs>
                <w:tab w:val="left" w:pos="2178"/>
              </w:tabs>
              <w:jc w:val="center"/>
              <w:rPr>
                <w:b/>
                <w:bCs/>
                <w:sz w:val="22"/>
                <w:szCs w:val="22"/>
              </w:rPr>
            </w:pPr>
            <w:r w:rsidRPr="007B2785">
              <w:rPr>
                <w:b/>
                <w:bCs/>
                <w:sz w:val="22"/>
                <w:szCs w:val="22"/>
              </w:rPr>
              <w:t>20</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B2785" w:rsidRDefault="00086D31" w:rsidP="00077328">
            <w:pPr>
              <w:widowControl w:val="0"/>
              <w:tabs>
                <w:tab w:val="left" w:pos="2178"/>
              </w:tabs>
              <w:jc w:val="center"/>
              <w:rPr>
                <w:b/>
                <w:bCs/>
                <w:sz w:val="22"/>
                <w:szCs w:val="22"/>
              </w:rPr>
            </w:pPr>
            <w:r>
              <w:rPr>
                <w:b/>
                <w:bCs/>
                <w:sz w:val="22"/>
                <w:szCs w:val="22"/>
              </w:rPr>
              <w:t>8.1</w:t>
            </w:r>
          </w:p>
        </w:tc>
      </w:tr>
      <w:tr w:rsidR="00086D31" w:rsidRPr="007B2785" w:rsidTr="00086D31">
        <w:trPr>
          <w:trHeight w:val="341"/>
          <w:jc w:val="center"/>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rPr>
                <w:bCs/>
                <w:sz w:val="22"/>
                <w:szCs w:val="22"/>
                <w:highlight w:val="yellow"/>
              </w:rPr>
            </w:pPr>
            <w:r>
              <w:rPr>
                <w:sz w:val="22"/>
                <w:szCs w:val="22"/>
              </w:rPr>
              <w:t>Firm and personnel e</w:t>
            </w:r>
            <w:r w:rsidRPr="007B2785">
              <w:rPr>
                <w:sz w:val="22"/>
                <w:szCs w:val="22"/>
              </w:rPr>
              <w:t xml:space="preserve">xperience on similar assignments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jc w:val="center"/>
              <w:rPr>
                <w:b/>
                <w:bCs/>
                <w:sz w:val="22"/>
                <w:szCs w:val="22"/>
                <w:highlight w:val="yellow"/>
              </w:rPr>
            </w:pPr>
            <w:r w:rsidRPr="007B2785">
              <w:rPr>
                <w:b/>
                <w:bCs/>
                <w:sz w:val="22"/>
                <w:szCs w:val="22"/>
              </w:rPr>
              <w:t>15</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B2785" w:rsidRDefault="00086D31" w:rsidP="00077328">
            <w:pPr>
              <w:widowControl w:val="0"/>
              <w:jc w:val="center"/>
              <w:rPr>
                <w:b/>
                <w:bCs/>
                <w:sz w:val="22"/>
                <w:szCs w:val="22"/>
              </w:rPr>
            </w:pPr>
            <w:r>
              <w:rPr>
                <w:b/>
                <w:bCs/>
                <w:sz w:val="22"/>
                <w:szCs w:val="22"/>
              </w:rPr>
              <w:t>8.1</w:t>
            </w:r>
          </w:p>
        </w:tc>
      </w:tr>
      <w:tr w:rsidR="00086D31" w:rsidRPr="007B2785" w:rsidTr="00086D31">
        <w:trPr>
          <w:trHeight w:val="332"/>
          <w:jc w:val="center"/>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ind w:right="-108"/>
              <w:rPr>
                <w:bCs/>
                <w:sz w:val="22"/>
                <w:szCs w:val="22"/>
              </w:rPr>
            </w:pPr>
            <w:r w:rsidRPr="007B2785">
              <w:rPr>
                <w:sz w:val="22"/>
                <w:szCs w:val="22"/>
              </w:rPr>
              <w:t xml:space="preserve">Acceptance of the Terms and Conditions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jc w:val="center"/>
              <w:rPr>
                <w:b/>
                <w:bCs/>
                <w:sz w:val="22"/>
                <w:szCs w:val="22"/>
              </w:rPr>
            </w:pPr>
            <w:r w:rsidRPr="007B2785">
              <w:rPr>
                <w:b/>
                <w:bCs/>
                <w:sz w:val="22"/>
                <w:szCs w:val="22"/>
              </w:rPr>
              <w:t>10</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B2785" w:rsidRDefault="00086D31" w:rsidP="00077328">
            <w:pPr>
              <w:widowControl w:val="0"/>
              <w:jc w:val="center"/>
              <w:rPr>
                <w:b/>
                <w:bCs/>
                <w:sz w:val="22"/>
                <w:szCs w:val="22"/>
              </w:rPr>
            </w:pPr>
            <w:r>
              <w:rPr>
                <w:b/>
                <w:bCs/>
                <w:sz w:val="22"/>
                <w:szCs w:val="22"/>
              </w:rPr>
              <w:t>Attachment 2</w:t>
            </w:r>
          </w:p>
        </w:tc>
      </w:tr>
      <w:tr w:rsidR="00086D31" w:rsidRPr="007B2785" w:rsidTr="00086D31">
        <w:trPr>
          <w:trHeight w:val="341"/>
          <w:jc w:val="center"/>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ind w:right="576"/>
              <w:rPr>
                <w:sz w:val="22"/>
                <w:szCs w:val="22"/>
              </w:rPr>
            </w:pPr>
            <w:r w:rsidRPr="007B2785">
              <w:rPr>
                <w:sz w:val="22"/>
                <w:szCs w:val="22"/>
              </w:rPr>
              <w:t>References</w:t>
            </w:r>
            <w:r w:rsidRPr="007B2785" w:rsidDel="00E111E1">
              <w:rPr>
                <w:sz w:val="22"/>
                <w:szCs w:val="22"/>
              </w:rPr>
              <w:t xml:space="preserve">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B2785" w:rsidRDefault="00086D31" w:rsidP="00077328">
            <w:pPr>
              <w:widowControl w:val="0"/>
              <w:jc w:val="center"/>
              <w:rPr>
                <w:b/>
                <w:bCs/>
                <w:sz w:val="22"/>
                <w:szCs w:val="22"/>
              </w:rPr>
            </w:pPr>
            <w:r w:rsidRPr="007B2785">
              <w:rPr>
                <w:b/>
                <w:bCs/>
                <w:sz w:val="22"/>
                <w:szCs w:val="22"/>
              </w:rPr>
              <w:t xml:space="preserve">5 </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B2785" w:rsidRDefault="00086D31" w:rsidP="00077328">
            <w:pPr>
              <w:widowControl w:val="0"/>
              <w:jc w:val="center"/>
              <w:rPr>
                <w:b/>
                <w:bCs/>
                <w:sz w:val="22"/>
                <w:szCs w:val="22"/>
              </w:rPr>
            </w:pPr>
            <w:r>
              <w:rPr>
                <w:b/>
                <w:bCs/>
                <w:sz w:val="22"/>
                <w:szCs w:val="22"/>
              </w:rPr>
              <w:t>8.1</w:t>
            </w:r>
          </w:p>
        </w:tc>
      </w:tr>
      <w:tr w:rsidR="00086D31" w:rsidRPr="007B2785" w:rsidTr="00086D31">
        <w:trPr>
          <w:trHeight w:val="341"/>
          <w:jc w:val="center"/>
        </w:trPr>
        <w:tc>
          <w:tcPr>
            <w:tcW w:w="4518" w:type="dxa"/>
            <w:tcBorders>
              <w:top w:val="single" w:sz="8" w:space="0" w:color="auto"/>
              <w:right w:val="single" w:sz="8" w:space="0" w:color="auto"/>
            </w:tcBorders>
            <w:shd w:val="clear" w:color="auto" w:fill="FFFFFF" w:themeFill="background1"/>
            <w:vAlign w:val="center"/>
          </w:tcPr>
          <w:p w:rsidR="00086D31" w:rsidRPr="007B2785" w:rsidRDefault="00086D31" w:rsidP="00077328">
            <w:pPr>
              <w:widowControl w:val="0"/>
              <w:ind w:right="576"/>
              <w:rPr>
                <w:sz w:val="22"/>
                <w:szCs w:val="22"/>
              </w:rPr>
            </w:pP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086D31" w:rsidRPr="007E7522" w:rsidRDefault="00086D31" w:rsidP="00077328">
            <w:pPr>
              <w:widowControl w:val="0"/>
              <w:jc w:val="center"/>
              <w:rPr>
                <w:b/>
                <w:bCs/>
                <w:i/>
                <w:sz w:val="22"/>
                <w:szCs w:val="22"/>
              </w:rPr>
            </w:pPr>
            <w:r w:rsidRPr="007E7522">
              <w:rPr>
                <w:b/>
                <w:bCs/>
                <w:i/>
                <w:sz w:val="22"/>
                <w:szCs w:val="22"/>
              </w:rPr>
              <w:t>100</w:t>
            </w:r>
          </w:p>
        </w:tc>
        <w:tc>
          <w:tcPr>
            <w:tcW w:w="1623" w:type="dxa"/>
            <w:tcBorders>
              <w:top w:val="single" w:sz="8" w:space="0" w:color="auto"/>
              <w:left w:val="nil"/>
              <w:bottom w:val="single" w:sz="8" w:space="0" w:color="auto"/>
              <w:right w:val="single" w:sz="8" w:space="0" w:color="auto"/>
            </w:tcBorders>
            <w:shd w:val="clear" w:color="auto" w:fill="FFFFFF" w:themeFill="background1"/>
          </w:tcPr>
          <w:p w:rsidR="00086D31" w:rsidRPr="007E7522" w:rsidRDefault="00086D31" w:rsidP="00077328">
            <w:pPr>
              <w:widowControl w:val="0"/>
              <w:jc w:val="center"/>
              <w:rPr>
                <w:b/>
                <w:bCs/>
                <w:i/>
                <w:sz w:val="22"/>
                <w:szCs w:val="22"/>
              </w:rPr>
            </w:pPr>
          </w:p>
        </w:tc>
      </w:tr>
    </w:tbl>
    <w:p w:rsidR="009C0996" w:rsidRDefault="009C0996" w:rsidP="006562BF">
      <w:pPr>
        <w:widowControl w:val="0"/>
        <w:ind w:left="720" w:hanging="720"/>
        <w:rPr>
          <w:b/>
          <w:bCs/>
        </w:rPr>
      </w:pPr>
    </w:p>
    <w:p w:rsidR="00C46320" w:rsidRDefault="00415DEC" w:rsidP="006562BF">
      <w:pPr>
        <w:widowControl w:val="0"/>
        <w:ind w:left="720" w:hanging="720"/>
        <w:rPr>
          <w:b/>
          <w:bCs/>
        </w:rPr>
      </w:pPr>
      <w:r>
        <w:rPr>
          <w:b/>
          <w:bCs/>
        </w:rPr>
        <w:tab/>
      </w:r>
    </w:p>
    <w:p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Pr="007D7C58" w:rsidRDefault="006562BF" w:rsidP="00A66B5A">
      <w:pPr>
        <w:widowControl w:val="0"/>
        <w:ind w:left="720"/>
      </w:pPr>
      <w:r w:rsidRPr="007D7C58">
        <w:t xml:space="preserve">The </w:t>
      </w:r>
      <w:r w:rsidR="003A1B30" w:rsidRPr="007D7C58">
        <w:t>AOC</w:t>
      </w:r>
      <w:r w:rsidRPr="007D7C58">
        <w:t xml:space="preserve"> may conduct interviews with </w:t>
      </w:r>
      <w:r w:rsidR="00AD59DB" w:rsidRPr="007D7C58">
        <w:t>Proposers</w:t>
      </w:r>
      <w:r w:rsidRPr="007D7C58">
        <w:t xml:space="preserve"> to clarify aspects set forth in the</w:t>
      </w:r>
      <w:r w:rsidR="00AD59DB" w:rsidRPr="007D7C58">
        <w:t>ir proposals</w:t>
      </w:r>
      <w:r w:rsidR="002E543F" w:rsidRPr="007D7C58">
        <w:t xml:space="preserve"> or to assist in finalizing the ranking of top-ranked proposals.  </w:t>
      </w:r>
      <w:r w:rsidR="00CE36CF" w:rsidRPr="007D7C58">
        <w:t>The interview process may require a demonstration</w:t>
      </w:r>
      <w:r w:rsidR="0029196A" w:rsidRPr="007D7C58">
        <w:t>.  The interview may also require a demonstration</w:t>
      </w:r>
      <w:r w:rsidR="00CE36CF" w:rsidRPr="007D7C58">
        <w:t xml:space="preserve"> of equivalence if a brand name is included in the specifications.  </w:t>
      </w:r>
      <w:r w:rsidR="002E543F" w:rsidRPr="007D7C58">
        <w:t xml:space="preserve">The interviews may be conducted in person or by phone.  If conducted in person, </w:t>
      </w:r>
      <w:r w:rsidRPr="007D7C58">
        <w:t xml:space="preserve">interviews will likely be </w:t>
      </w:r>
      <w:r w:rsidR="00E00E57" w:rsidRPr="007D7C58">
        <w:t>held</w:t>
      </w:r>
      <w:r w:rsidRPr="007D7C58">
        <w:t xml:space="preserve"> at the </w:t>
      </w:r>
      <w:r w:rsidR="003A1B30" w:rsidRPr="007D7C58">
        <w:t>AOC</w:t>
      </w:r>
      <w:r w:rsidRPr="007D7C58">
        <w:t xml:space="preserve">’s offices.  The </w:t>
      </w:r>
      <w:r w:rsidR="003A1B30" w:rsidRPr="007D7C58">
        <w:t>AOC</w:t>
      </w:r>
      <w:r w:rsidRPr="007D7C58">
        <w:t xml:space="preserve"> will not reimburse </w:t>
      </w:r>
      <w:r w:rsidR="00A66B5A" w:rsidRPr="007D7C58">
        <w:t>Proposers</w:t>
      </w:r>
      <w:r w:rsidRPr="007D7C58">
        <w:t xml:space="preserve"> for any costs incurred in traveling to or from the interview location.  The </w:t>
      </w:r>
      <w:r w:rsidR="003A1B30" w:rsidRPr="007D7C58">
        <w:t>AOC</w:t>
      </w:r>
      <w:r w:rsidRPr="007D7C58">
        <w:t xml:space="preserve"> will notify eligible </w:t>
      </w:r>
      <w:r w:rsidR="00AD59DB" w:rsidRPr="007D7C58">
        <w:t>P</w:t>
      </w:r>
      <w:r w:rsidRPr="007D7C58">
        <w:t>roposers regarding interview arrangements.</w:t>
      </w:r>
    </w:p>
    <w:p w:rsidR="006562BF" w:rsidRDefault="006562BF" w:rsidP="006562BF">
      <w:pPr>
        <w:ind w:left="720"/>
        <w:rPr>
          <w:sz w:val="20"/>
          <w:szCs w:val="20"/>
        </w:rPr>
      </w:pPr>
    </w:p>
    <w:p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B119F4" w:rsidRDefault="00B119F4" w:rsidP="00B119F4">
      <w:pPr>
        <w:pStyle w:val="BodyTextIndent"/>
        <w:spacing w:after="240"/>
        <w:ind w:left="720"/>
      </w:pPr>
      <w:r>
        <w:t xml:space="preserve">One copy of each </w:t>
      </w:r>
      <w:r w:rsidRPr="005E0EE1">
        <w:t xml:space="preserve">proposal will be retained </w:t>
      </w:r>
      <w:r>
        <w:t xml:space="preserve">by the </w:t>
      </w:r>
      <w:r w:rsidR="003A1B30">
        <w:t>AOC</w:t>
      </w:r>
      <w:r>
        <w:t xml:space="preserve"> </w:t>
      </w:r>
      <w:r w:rsidRPr="005E0EE1">
        <w:t xml:space="preserve">for official files and </w:t>
      </w:r>
      <w:r>
        <w:t xml:space="preserve">will </w:t>
      </w:r>
      <w:r w:rsidRPr="005E0EE1">
        <w:t>become a public record</w:t>
      </w:r>
      <w:r>
        <w:t>.</w:t>
      </w:r>
      <w:r w:rsidRPr="0046465F">
        <w:rPr>
          <w:color w:val="000000" w:themeColor="text1"/>
        </w:rPr>
        <w:t xml:space="preserve"> </w:t>
      </w:r>
      <w:r>
        <w:rPr>
          <w:color w:val="000000" w:themeColor="text1"/>
        </w:rPr>
        <w:t xml:space="preserve"> </w:t>
      </w: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which governs public access to judicial administrative records</w:t>
      </w:r>
      <w:r>
        <w:rPr>
          <w:color w:val="000000" w:themeColor="text1"/>
        </w:rPr>
        <w:t xml:space="preserve"> </w:t>
      </w:r>
      <w:r w:rsidRPr="0046465F">
        <w:rPr>
          <w:color w:val="000000" w:themeColor="text1"/>
        </w:rPr>
        <w:t>(see</w:t>
      </w:r>
      <w:r>
        <w:rPr>
          <w:color w:val="000000" w:themeColor="text1"/>
        </w:rPr>
        <w:t xml:space="preserve"> </w:t>
      </w:r>
      <w:r w:rsidRPr="008A14EF">
        <w:rPr>
          <w:i/>
        </w:rPr>
        <w:t>www.courtinfo.ca.gov/cms/rules/index.cfm?title=ten&amp;linkid=rule10_500</w:t>
      </w:r>
      <w:r w:rsidRPr="0046465F">
        <w:rPr>
          <w:color w:val="000000" w:themeColor="text1"/>
        </w:rPr>
        <w:t>)</w:t>
      </w:r>
      <w:r>
        <w:rPr>
          <w:color w:val="000000" w:themeColor="text1"/>
        </w:rPr>
        <w:t>.</w:t>
      </w:r>
    </w:p>
    <w:p w:rsidR="00B119F4" w:rsidRDefault="00B119F4" w:rsidP="00B119F4">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w:t>
      </w:r>
      <w:r w:rsidR="003A1B30">
        <w:t>AOC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3A1B30">
        <w:t>AOC</w:t>
      </w:r>
      <w:r w:rsidRPr="00953A7F">
        <w:t xml:space="preserve"> finds or reasonably believes that the material so marked is </w:t>
      </w:r>
      <w:r w:rsidRPr="00953A7F">
        <w:rPr>
          <w:b/>
        </w:rPr>
        <w:t>not</w:t>
      </w:r>
      <w:r w:rsidRPr="00953A7F">
        <w:t xml:space="preserve"> exempt from disclosure, the </w:t>
      </w:r>
      <w:r w:rsidR="003A1B30">
        <w:t>AOC</w:t>
      </w:r>
      <w:r w:rsidRPr="00953A7F">
        <w:t xml:space="preserve"> will disclose the information regardless of the marking or notation seeking confidential treatment.</w:t>
      </w:r>
    </w:p>
    <w:p w:rsidR="00B119F4" w:rsidRDefault="00B119F4" w:rsidP="00B119F4">
      <w:pPr>
        <w:pStyle w:val="BodyTextIndent"/>
        <w:spacing w:after="240"/>
        <w:ind w:left="720"/>
      </w:pPr>
      <w:r w:rsidRPr="005B19D5">
        <w:t xml:space="preserve">Notwithstanding the above, the California Public Contract Code requires the public </w:t>
      </w:r>
      <w:r w:rsidR="00F00B0F">
        <w:t>opening</w:t>
      </w:r>
      <w:r w:rsidRPr="005B19D5">
        <w:t xml:space="preserve"> of certain proposals.  If required to do so by the Public Contract Code, </w:t>
      </w:r>
      <w:proofErr w:type="gramStart"/>
      <w:r w:rsidRPr="005B19D5">
        <w:t>a</w:t>
      </w:r>
      <w:proofErr w:type="gramEnd"/>
      <w:r w:rsidRPr="005B19D5">
        <w:t xml:space="preserve"> </w:t>
      </w:r>
      <w:r w:rsidR="003A1B30">
        <w:t>AOC</w:t>
      </w:r>
      <w:r w:rsidRPr="005B19D5">
        <w:t xml:space="preserve"> may disclose all information contained in a proposal, including information marked as confidential or proprietary.</w:t>
      </w:r>
    </w:p>
    <w:p w:rsidR="00825BC4" w:rsidRDefault="00512CCE" w:rsidP="002C2EAA">
      <w:pPr>
        <w:keepNext/>
        <w:ind w:left="720" w:hanging="720"/>
        <w:rPr>
          <w:b/>
          <w:bCs/>
        </w:rPr>
      </w:pPr>
      <w:r>
        <w:rPr>
          <w:b/>
          <w:bCs/>
        </w:rPr>
        <w:t>13</w:t>
      </w:r>
      <w:r w:rsidR="00B94738">
        <w:rPr>
          <w:b/>
          <w:bCs/>
        </w:rPr>
        <w:t>.0</w:t>
      </w:r>
      <w:r w:rsidR="00B94738">
        <w:rPr>
          <w:b/>
          <w:bCs/>
        </w:rPr>
        <w:tab/>
        <w:t xml:space="preserve">DISABLED VETERAN BUSINESS </w:t>
      </w:r>
      <w:r w:rsidR="00825BC4">
        <w:rPr>
          <w:b/>
          <w:bCs/>
        </w:rPr>
        <w:t>ENTERPRISE PARTICIPATION GOALS</w:t>
      </w:r>
    </w:p>
    <w:p w:rsidR="007D7C58" w:rsidRPr="005C7E37" w:rsidRDefault="007D7C58" w:rsidP="007D7C58">
      <w:pPr>
        <w:pStyle w:val="BodyTextIndent"/>
        <w:spacing w:before="240" w:after="240"/>
        <w:ind w:left="720"/>
      </w:pPr>
      <w:r w:rsidRPr="005C7E37">
        <w:t>The AOC has waived the inclusion of DVBE participation in this solicitation.</w:t>
      </w:r>
    </w:p>
    <w:p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Pr="00077328" w:rsidRDefault="00053778" w:rsidP="007D7C58">
      <w:pPr>
        <w:ind w:left="720"/>
        <w:rPr>
          <w:rFonts w:eastAsiaTheme="minorHAnsi"/>
          <w:sz w:val="22"/>
          <w:szCs w:val="22"/>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3A1B30">
        <w:rPr>
          <w:color w:val="000000" w:themeColor="text1"/>
        </w:rPr>
        <w:t>AOC</w:t>
      </w:r>
      <w:r w:rsidRPr="005A3E81">
        <w:rPr>
          <w:color w:val="000000" w:themeColor="text1"/>
        </w:rPr>
        <w:t xml:space="preserve"> to receive a solicitation specifications protest is </w:t>
      </w:r>
      <w:r w:rsidR="004C708E">
        <w:rPr>
          <w:color w:val="000000" w:themeColor="text1"/>
        </w:rPr>
        <w:t>set forth in Section 3.0 of this RFP.</w:t>
      </w:r>
      <w:r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F05ABC" w:rsidRPr="007B2785" w:rsidRDefault="00F05ABC" w:rsidP="004F0716">
      <w:pPr>
        <w:ind w:left="1440" w:right="144"/>
        <w:jc w:val="both"/>
        <w:rPr>
          <w:bCs/>
        </w:rPr>
      </w:pPr>
      <w:r w:rsidRPr="007B2785">
        <w:rPr>
          <w:bCs/>
        </w:rPr>
        <w:t>Judicial Council of California</w:t>
      </w:r>
    </w:p>
    <w:p w:rsidR="00F05ABC" w:rsidRPr="007B2785" w:rsidRDefault="00F05ABC" w:rsidP="004F0716">
      <w:pPr>
        <w:ind w:left="1440" w:right="144"/>
        <w:jc w:val="both"/>
        <w:rPr>
          <w:bCs/>
        </w:rPr>
      </w:pPr>
      <w:r w:rsidRPr="007B2785">
        <w:rPr>
          <w:bCs/>
        </w:rPr>
        <w:t>Administrative Office of the Courts</w:t>
      </w:r>
    </w:p>
    <w:p w:rsidR="00F05ABC" w:rsidRPr="007B2785" w:rsidRDefault="00F05ABC" w:rsidP="004F0716">
      <w:pPr>
        <w:pStyle w:val="CommentText"/>
        <w:tabs>
          <w:tab w:val="left" w:pos="1242"/>
        </w:tabs>
        <w:ind w:left="1440" w:right="144"/>
        <w:jc w:val="both"/>
        <w:rPr>
          <w:bCs/>
          <w:sz w:val="24"/>
          <w:szCs w:val="24"/>
        </w:rPr>
      </w:pPr>
      <w:r w:rsidRPr="007B2785">
        <w:rPr>
          <w:bCs/>
          <w:sz w:val="24"/>
          <w:szCs w:val="24"/>
        </w:rPr>
        <w:t>Fiscal Services Office, Business Services</w:t>
      </w:r>
    </w:p>
    <w:p w:rsidR="00F05ABC" w:rsidRPr="007B2785" w:rsidRDefault="00F05ABC" w:rsidP="004F0716">
      <w:pPr>
        <w:pStyle w:val="CommentText"/>
        <w:tabs>
          <w:tab w:val="left" w:pos="1242"/>
        </w:tabs>
        <w:ind w:left="1440" w:right="144"/>
        <w:jc w:val="both"/>
        <w:rPr>
          <w:bCs/>
          <w:sz w:val="24"/>
          <w:szCs w:val="24"/>
        </w:rPr>
      </w:pPr>
      <w:r w:rsidRPr="007B2785">
        <w:rPr>
          <w:bCs/>
          <w:sz w:val="24"/>
          <w:szCs w:val="24"/>
        </w:rPr>
        <w:t>Attn: Nadine McFadden, RFP#</w:t>
      </w:r>
      <w:r w:rsidR="004F0716">
        <w:rPr>
          <w:bCs/>
          <w:sz w:val="24"/>
          <w:szCs w:val="24"/>
        </w:rPr>
        <w:t xml:space="preserve"> CJER 05-13-RB</w:t>
      </w:r>
    </w:p>
    <w:p w:rsidR="00F05ABC" w:rsidRPr="007B2785" w:rsidRDefault="00F05ABC" w:rsidP="004F0716">
      <w:pPr>
        <w:ind w:left="1440" w:right="144"/>
        <w:jc w:val="both"/>
        <w:rPr>
          <w:bCs/>
        </w:rPr>
      </w:pPr>
      <w:r w:rsidRPr="007B2785">
        <w:rPr>
          <w:bCs/>
        </w:rPr>
        <w:t xml:space="preserve">455 Golden Gate Avenue, </w:t>
      </w:r>
      <w:r w:rsidRPr="007B2785">
        <w:t>6</w:t>
      </w:r>
      <w:r w:rsidRPr="007B2785">
        <w:rPr>
          <w:vertAlign w:val="superscript"/>
        </w:rPr>
        <w:t>th</w:t>
      </w:r>
      <w:r w:rsidRPr="007B2785">
        <w:t xml:space="preserve"> Floor</w:t>
      </w:r>
    </w:p>
    <w:p w:rsidR="00F05ABC" w:rsidRPr="007B2785" w:rsidRDefault="00F05ABC" w:rsidP="004F0716">
      <w:pPr>
        <w:ind w:left="1440" w:right="144"/>
        <w:jc w:val="both"/>
        <w:rPr>
          <w:bCs/>
        </w:rPr>
      </w:pPr>
      <w:r w:rsidRPr="007B2785">
        <w:rPr>
          <w:bCs/>
        </w:rPr>
        <w:t>San Francisco, CA  94102-3688</w:t>
      </w:r>
    </w:p>
    <w:p w:rsidR="00C662D1" w:rsidRDefault="00C662D1"/>
    <w:p w:rsidR="00130AE7" w:rsidRDefault="00130AE7"/>
    <w:p w:rsidR="00FF6693" w:rsidRPr="007B2785" w:rsidRDefault="00FF6693" w:rsidP="00FF6693">
      <w:pPr>
        <w:ind w:right="144"/>
        <w:jc w:val="center"/>
        <w:rPr>
          <w:b/>
          <w:bCs/>
          <w:i/>
        </w:rPr>
      </w:pPr>
      <w:r w:rsidRPr="007B2785">
        <w:rPr>
          <w:b/>
          <w:bCs/>
          <w:i/>
        </w:rPr>
        <w:t>END OF RFP</w:t>
      </w:r>
    </w:p>
    <w:p w:rsidR="00130AE7" w:rsidRDefault="00130AE7"/>
    <w:sectPr w:rsidR="00130AE7" w:rsidSect="00303929">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15" w:rsidRDefault="008B1515" w:rsidP="00C37FF7">
      <w:r>
        <w:separator/>
      </w:r>
    </w:p>
  </w:endnote>
  <w:endnote w:type="continuationSeparator" w:id="0">
    <w:p w:rsidR="008B1515" w:rsidRDefault="008B151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15" w:rsidRDefault="008B1515" w:rsidP="007D7C58">
    <w:pPr>
      <w:pStyle w:val="Footer"/>
      <w:jc w:val="center"/>
    </w:pPr>
    <w:r>
      <w:t xml:space="preserve">Page </w:t>
    </w:r>
    <w:fldSimple w:instr=" PAGE   \* MERGEFORMAT ">
      <w:r w:rsidR="00717CA2">
        <w:rPr>
          <w:noProof/>
        </w:rPr>
        <w:t>11</w:t>
      </w:r>
    </w:fldSimple>
    <w:r>
      <w:t xml:space="preserve"> of </w:t>
    </w:r>
    <w:fldSimple w:instr=" NUMPAGES   \* MERGEFORMAT ">
      <w:r w:rsidR="00717CA2">
        <w:rPr>
          <w:noProof/>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15" w:rsidRDefault="008B1515" w:rsidP="007D7C58">
    <w:pPr>
      <w:pStyle w:val="Footer"/>
      <w:jc w:val="center"/>
    </w:pPr>
    <w:r>
      <w:t xml:space="preserve">Page </w:t>
    </w:r>
    <w:fldSimple w:instr=" PAGE   \* MERGEFORMAT ">
      <w:r w:rsidR="00717CA2">
        <w:rPr>
          <w:noProof/>
        </w:rPr>
        <w:t>1</w:t>
      </w:r>
    </w:fldSimple>
    <w:r>
      <w:t xml:space="preserve"> of </w:t>
    </w:r>
    <w:fldSimple w:instr=" NUMPAGES   \* MERGEFORMAT ">
      <w:r w:rsidR="00717CA2">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15" w:rsidRDefault="008B1515" w:rsidP="00C37FF7">
      <w:r>
        <w:separator/>
      </w:r>
    </w:p>
  </w:footnote>
  <w:footnote w:type="continuationSeparator" w:id="0">
    <w:p w:rsidR="008B1515" w:rsidRDefault="008B151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15" w:rsidRDefault="008B1515" w:rsidP="007B4D29">
    <w:pPr>
      <w:tabs>
        <w:tab w:val="left" w:pos="1620"/>
        <w:tab w:val="center" w:pos="4320"/>
        <w:tab w:val="right" w:pos="8640"/>
      </w:tabs>
      <w:rPr>
        <w:color w:val="000000"/>
      </w:rPr>
    </w:pPr>
    <w:r>
      <w:rPr>
        <w:color w:val="000000"/>
      </w:rPr>
      <w:t>RFP Title:</w:t>
    </w:r>
    <w:r>
      <w:rPr>
        <w:color w:val="000000"/>
      </w:rPr>
      <w:tab/>
    </w:r>
    <w:r>
      <w:rPr>
        <w:color w:val="000000"/>
        <w:sz w:val="22"/>
        <w:szCs w:val="22"/>
      </w:rPr>
      <w:t>Audio Video Systems Modifications and Integration Services</w:t>
    </w:r>
  </w:p>
  <w:p w:rsidR="008B1515" w:rsidRDefault="008B1515" w:rsidP="007B4D29">
    <w:pPr>
      <w:tabs>
        <w:tab w:val="left" w:pos="1620"/>
      </w:tabs>
      <w:rPr>
        <w:color w:val="000000"/>
      </w:rPr>
    </w:pPr>
    <w:r>
      <w:rPr>
        <w:color w:val="000000"/>
      </w:rPr>
      <w:t>RFP Number:</w:t>
    </w:r>
    <w:r>
      <w:rPr>
        <w:color w:val="000000"/>
      </w:rPr>
      <w:tab/>
      <w:t>CJER 05-13-RB</w:t>
    </w:r>
  </w:p>
  <w:p w:rsidR="008B1515" w:rsidRDefault="008B1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0F7"/>
    <w:multiLevelType w:val="hybridMultilevel"/>
    <w:tmpl w:val="25A449B6"/>
    <w:lvl w:ilvl="0" w:tplc="FBD60B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6A63D97"/>
    <w:multiLevelType w:val="hybridMultilevel"/>
    <w:tmpl w:val="7BC47B2C"/>
    <w:lvl w:ilvl="0" w:tplc="9E98D832">
      <w:start w:val="1"/>
      <w:numFmt w:val="decimal"/>
      <w:lvlText w:val="%1."/>
      <w:lvlJc w:val="left"/>
      <w:pPr>
        <w:tabs>
          <w:tab w:val="num" w:pos="720"/>
        </w:tabs>
        <w:ind w:left="720" w:hanging="360"/>
      </w:pPr>
      <w:rPr>
        <w:b w:val="0"/>
      </w:rPr>
    </w:lvl>
    <w:lvl w:ilvl="1" w:tplc="AF7A896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D791854"/>
    <w:multiLevelType w:val="hybridMultilevel"/>
    <w:tmpl w:val="CA6AC24C"/>
    <w:lvl w:ilvl="0" w:tplc="9452A55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A8C09F9"/>
    <w:multiLevelType w:val="hybridMultilevel"/>
    <w:tmpl w:val="B5D43E3E"/>
    <w:lvl w:ilvl="0" w:tplc="214478C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C03732"/>
    <w:multiLevelType w:val="multilevel"/>
    <w:tmpl w:val="6DC487A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235DD3"/>
    <w:multiLevelType w:val="hybridMultilevel"/>
    <w:tmpl w:val="1154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31526602"/>
    <w:multiLevelType w:val="hybridMultilevel"/>
    <w:tmpl w:val="A8DC78E0"/>
    <w:lvl w:ilvl="0" w:tplc="B538A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A40D07"/>
    <w:multiLevelType w:val="multilevel"/>
    <w:tmpl w:val="2FA430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5C914E5"/>
    <w:multiLevelType w:val="multilevel"/>
    <w:tmpl w:val="6DC487A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607422"/>
    <w:multiLevelType w:val="hybridMultilevel"/>
    <w:tmpl w:val="25A449B6"/>
    <w:lvl w:ilvl="0" w:tplc="FBD60B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666ABD"/>
    <w:multiLevelType w:val="hybridMultilevel"/>
    <w:tmpl w:val="5BD8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0F215D"/>
    <w:multiLevelType w:val="multilevel"/>
    <w:tmpl w:val="2FA430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3D44FB8"/>
    <w:multiLevelType w:val="multilevel"/>
    <w:tmpl w:val="2FA430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C855E2D"/>
    <w:multiLevelType w:val="multilevel"/>
    <w:tmpl w:val="6DC487A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6"/>
  </w:num>
  <w:num w:numId="3">
    <w:abstractNumId w:val="15"/>
  </w:num>
  <w:num w:numId="4">
    <w:abstractNumId w:val="20"/>
  </w:num>
  <w:num w:numId="5">
    <w:abstractNumId w:val="2"/>
  </w:num>
  <w:num w:numId="6">
    <w:abstractNumId w:val="21"/>
  </w:num>
  <w:num w:numId="7">
    <w:abstractNumId w:val="14"/>
  </w:num>
  <w:num w:numId="8">
    <w:abstractNumId w:val="6"/>
  </w:num>
  <w:num w:numId="9">
    <w:abstractNumId w:val="9"/>
  </w:num>
  <w:num w:numId="10">
    <w:abstractNumId w:val="23"/>
  </w:num>
  <w:num w:numId="11">
    <w:abstractNumId w:val="17"/>
  </w:num>
  <w:num w:numId="12">
    <w:abstractNumId w:val="19"/>
  </w:num>
  <w:num w:numId="13">
    <w:abstractNumId w:val="25"/>
  </w:num>
  <w:num w:numId="14">
    <w:abstractNumId w:val="24"/>
  </w:num>
  <w:num w:numId="15">
    <w:abstractNumId w:val="11"/>
  </w:num>
  <w:num w:numId="16">
    <w:abstractNumId w:val="26"/>
  </w:num>
  <w:num w:numId="17">
    <w:abstractNumId w:val="7"/>
  </w:num>
  <w:num w:numId="18">
    <w:abstractNumId w:val="12"/>
  </w:num>
  <w:num w:numId="19">
    <w:abstractNumId w:val="3"/>
  </w:num>
  <w:num w:numId="20">
    <w:abstractNumId w:val="13"/>
  </w:num>
  <w:num w:numId="21">
    <w:abstractNumId w:val="4"/>
  </w:num>
  <w:num w:numId="22">
    <w:abstractNumId w:val="18"/>
  </w:num>
  <w:num w:numId="23">
    <w:abstractNumId w:val="1"/>
  </w:num>
  <w:num w:numId="24">
    <w:abstractNumId w:val="10"/>
  </w:num>
  <w:num w:numId="25">
    <w:abstractNumId w:val="8"/>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7FF7"/>
    <w:rsid w:val="0000088F"/>
    <w:rsid w:val="0000270A"/>
    <w:rsid w:val="00012E2B"/>
    <w:rsid w:val="00020D77"/>
    <w:rsid w:val="00020DD8"/>
    <w:rsid w:val="0002344F"/>
    <w:rsid w:val="00023B38"/>
    <w:rsid w:val="000243D3"/>
    <w:rsid w:val="0002452B"/>
    <w:rsid w:val="000262FE"/>
    <w:rsid w:val="00030B92"/>
    <w:rsid w:val="00030C1B"/>
    <w:rsid w:val="00033354"/>
    <w:rsid w:val="000356BE"/>
    <w:rsid w:val="00050FB6"/>
    <w:rsid w:val="000518CD"/>
    <w:rsid w:val="00053778"/>
    <w:rsid w:val="00070FCA"/>
    <w:rsid w:val="00077328"/>
    <w:rsid w:val="00080391"/>
    <w:rsid w:val="00082230"/>
    <w:rsid w:val="000861A9"/>
    <w:rsid w:val="00086D31"/>
    <w:rsid w:val="000906D4"/>
    <w:rsid w:val="000969C7"/>
    <w:rsid w:val="000A5D0E"/>
    <w:rsid w:val="000B0813"/>
    <w:rsid w:val="000B5676"/>
    <w:rsid w:val="000B5852"/>
    <w:rsid w:val="000B6ABA"/>
    <w:rsid w:val="000D1E8B"/>
    <w:rsid w:val="000D2235"/>
    <w:rsid w:val="000D43CC"/>
    <w:rsid w:val="000D4C75"/>
    <w:rsid w:val="000D5415"/>
    <w:rsid w:val="000D5FD6"/>
    <w:rsid w:val="000E14BB"/>
    <w:rsid w:val="000F0270"/>
    <w:rsid w:val="00101C48"/>
    <w:rsid w:val="00110657"/>
    <w:rsid w:val="0012621F"/>
    <w:rsid w:val="001303B1"/>
    <w:rsid w:val="00130AE7"/>
    <w:rsid w:val="00133F5A"/>
    <w:rsid w:val="00142C87"/>
    <w:rsid w:val="00143D24"/>
    <w:rsid w:val="001564A5"/>
    <w:rsid w:val="00157C69"/>
    <w:rsid w:val="00163EB3"/>
    <w:rsid w:val="00164902"/>
    <w:rsid w:val="00164E17"/>
    <w:rsid w:val="00165681"/>
    <w:rsid w:val="00166197"/>
    <w:rsid w:val="00170DC4"/>
    <w:rsid w:val="00173CFE"/>
    <w:rsid w:val="00181FDA"/>
    <w:rsid w:val="00190A55"/>
    <w:rsid w:val="0019276F"/>
    <w:rsid w:val="001A3573"/>
    <w:rsid w:val="001A5590"/>
    <w:rsid w:val="001B29F7"/>
    <w:rsid w:val="001C18B0"/>
    <w:rsid w:val="001C4ED0"/>
    <w:rsid w:val="001D3270"/>
    <w:rsid w:val="001D416D"/>
    <w:rsid w:val="001E612A"/>
    <w:rsid w:val="0020192C"/>
    <w:rsid w:val="00201D27"/>
    <w:rsid w:val="00204B2E"/>
    <w:rsid w:val="002102F5"/>
    <w:rsid w:val="002108C3"/>
    <w:rsid w:val="002209B1"/>
    <w:rsid w:val="0022207C"/>
    <w:rsid w:val="002251AF"/>
    <w:rsid w:val="00226801"/>
    <w:rsid w:val="00226D67"/>
    <w:rsid w:val="00227F66"/>
    <w:rsid w:val="00230D5C"/>
    <w:rsid w:val="0023310E"/>
    <w:rsid w:val="00233D32"/>
    <w:rsid w:val="00246470"/>
    <w:rsid w:val="00251CC8"/>
    <w:rsid w:val="00253633"/>
    <w:rsid w:val="00253E0F"/>
    <w:rsid w:val="002622C4"/>
    <w:rsid w:val="00262320"/>
    <w:rsid w:val="00267595"/>
    <w:rsid w:val="0029196A"/>
    <w:rsid w:val="00292053"/>
    <w:rsid w:val="002929B5"/>
    <w:rsid w:val="002960F1"/>
    <w:rsid w:val="002C2EAA"/>
    <w:rsid w:val="002C3530"/>
    <w:rsid w:val="002C64BD"/>
    <w:rsid w:val="002D07F1"/>
    <w:rsid w:val="002D15D5"/>
    <w:rsid w:val="002E543F"/>
    <w:rsid w:val="002E7965"/>
    <w:rsid w:val="002F5E03"/>
    <w:rsid w:val="003020A2"/>
    <w:rsid w:val="00303929"/>
    <w:rsid w:val="00311490"/>
    <w:rsid w:val="0031272D"/>
    <w:rsid w:val="00312D1B"/>
    <w:rsid w:val="0032125D"/>
    <w:rsid w:val="00325BBE"/>
    <w:rsid w:val="00326CAC"/>
    <w:rsid w:val="00327099"/>
    <w:rsid w:val="0032785B"/>
    <w:rsid w:val="00327CD5"/>
    <w:rsid w:val="00333A7A"/>
    <w:rsid w:val="003364C3"/>
    <w:rsid w:val="00336ABC"/>
    <w:rsid w:val="0036121D"/>
    <w:rsid w:val="003670B6"/>
    <w:rsid w:val="003719A5"/>
    <w:rsid w:val="00375134"/>
    <w:rsid w:val="0038741B"/>
    <w:rsid w:val="00391059"/>
    <w:rsid w:val="00394641"/>
    <w:rsid w:val="00395983"/>
    <w:rsid w:val="00395B94"/>
    <w:rsid w:val="0039604F"/>
    <w:rsid w:val="003A1B30"/>
    <w:rsid w:val="003A35AB"/>
    <w:rsid w:val="003A4D99"/>
    <w:rsid w:val="003B268E"/>
    <w:rsid w:val="003C14B3"/>
    <w:rsid w:val="003C249E"/>
    <w:rsid w:val="003D5784"/>
    <w:rsid w:val="003E46FF"/>
    <w:rsid w:val="003E5035"/>
    <w:rsid w:val="003F698D"/>
    <w:rsid w:val="003F69CA"/>
    <w:rsid w:val="00400CA2"/>
    <w:rsid w:val="00401C02"/>
    <w:rsid w:val="00401F22"/>
    <w:rsid w:val="00415DEC"/>
    <w:rsid w:val="00416B7B"/>
    <w:rsid w:val="0043281C"/>
    <w:rsid w:val="00437AA0"/>
    <w:rsid w:val="0044047E"/>
    <w:rsid w:val="004425FB"/>
    <w:rsid w:val="00451C80"/>
    <w:rsid w:val="004601F8"/>
    <w:rsid w:val="00477440"/>
    <w:rsid w:val="004812BB"/>
    <w:rsid w:val="00482CC9"/>
    <w:rsid w:val="00494EC2"/>
    <w:rsid w:val="004960BA"/>
    <w:rsid w:val="004A337A"/>
    <w:rsid w:val="004A500B"/>
    <w:rsid w:val="004A70F2"/>
    <w:rsid w:val="004B38F7"/>
    <w:rsid w:val="004C708E"/>
    <w:rsid w:val="004D0D8E"/>
    <w:rsid w:val="004D5961"/>
    <w:rsid w:val="004E669D"/>
    <w:rsid w:val="004F0716"/>
    <w:rsid w:val="004F4E91"/>
    <w:rsid w:val="005007B8"/>
    <w:rsid w:val="00501FF0"/>
    <w:rsid w:val="00510171"/>
    <w:rsid w:val="00511CFB"/>
    <w:rsid w:val="00512CCE"/>
    <w:rsid w:val="00531D6E"/>
    <w:rsid w:val="00532899"/>
    <w:rsid w:val="00543187"/>
    <w:rsid w:val="00562D50"/>
    <w:rsid w:val="0057317D"/>
    <w:rsid w:val="00574253"/>
    <w:rsid w:val="005844B9"/>
    <w:rsid w:val="005846F1"/>
    <w:rsid w:val="00585138"/>
    <w:rsid w:val="005924F9"/>
    <w:rsid w:val="005946B6"/>
    <w:rsid w:val="00595811"/>
    <w:rsid w:val="00595822"/>
    <w:rsid w:val="00595859"/>
    <w:rsid w:val="00597A22"/>
    <w:rsid w:val="00597C4A"/>
    <w:rsid w:val="005A34B0"/>
    <w:rsid w:val="005A3F91"/>
    <w:rsid w:val="005B04DF"/>
    <w:rsid w:val="005B19B1"/>
    <w:rsid w:val="005B19D5"/>
    <w:rsid w:val="005D2B0B"/>
    <w:rsid w:val="005D6968"/>
    <w:rsid w:val="005E08C0"/>
    <w:rsid w:val="005F1616"/>
    <w:rsid w:val="005F3F8D"/>
    <w:rsid w:val="005F40D0"/>
    <w:rsid w:val="005F597D"/>
    <w:rsid w:val="005F5C25"/>
    <w:rsid w:val="005F6E88"/>
    <w:rsid w:val="00624AEA"/>
    <w:rsid w:val="00626AC2"/>
    <w:rsid w:val="00626B27"/>
    <w:rsid w:val="006308E7"/>
    <w:rsid w:val="00640DD7"/>
    <w:rsid w:val="00646261"/>
    <w:rsid w:val="00652F20"/>
    <w:rsid w:val="006537F3"/>
    <w:rsid w:val="006562BF"/>
    <w:rsid w:val="00656FCE"/>
    <w:rsid w:val="00662A31"/>
    <w:rsid w:val="00666CAB"/>
    <w:rsid w:val="00666CAF"/>
    <w:rsid w:val="00672E21"/>
    <w:rsid w:val="00674C33"/>
    <w:rsid w:val="00675336"/>
    <w:rsid w:val="00675C38"/>
    <w:rsid w:val="00677FC3"/>
    <w:rsid w:val="006822FA"/>
    <w:rsid w:val="0068288F"/>
    <w:rsid w:val="006943FB"/>
    <w:rsid w:val="006964C5"/>
    <w:rsid w:val="006B572B"/>
    <w:rsid w:val="006C0F5F"/>
    <w:rsid w:val="006C384C"/>
    <w:rsid w:val="006D02BE"/>
    <w:rsid w:val="006D22AC"/>
    <w:rsid w:val="006D4E57"/>
    <w:rsid w:val="006D6F0B"/>
    <w:rsid w:val="006D7BC0"/>
    <w:rsid w:val="006E1F73"/>
    <w:rsid w:val="006E24D0"/>
    <w:rsid w:val="006E2CE3"/>
    <w:rsid w:val="006E36DB"/>
    <w:rsid w:val="006F0B7C"/>
    <w:rsid w:val="006F6D6E"/>
    <w:rsid w:val="00717CA2"/>
    <w:rsid w:val="00735F39"/>
    <w:rsid w:val="00742621"/>
    <w:rsid w:val="00745F79"/>
    <w:rsid w:val="00746AC7"/>
    <w:rsid w:val="00752F31"/>
    <w:rsid w:val="0075335D"/>
    <w:rsid w:val="00753F60"/>
    <w:rsid w:val="00760C5F"/>
    <w:rsid w:val="00764211"/>
    <w:rsid w:val="00776870"/>
    <w:rsid w:val="00782800"/>
    <w:rsid w:val="00786140"/>
    <w:rsid w:val="00792747"/>
    <w:rsid w:val="007A0851"/>
    <w:rsid w:val="007A2146"/>
    <w:rsid w:val="007A7C95"/>
    <w:rsid w:val="007B0738"/>
    <w:rsid w:val="007B0E96"/>
    <w:rsid w:val="007B3EA6"/>
    <w:rsid w:val="007B4D29"/>
    <w:rsid w:val="007B7AC8"/>
    <w:rsid w:val="007C1562"/>
    <w:rsid w:val="007C41DF"/>
    <w:rsid w:val="007C4712"/>
    <w:rsid w:val="007C5D81"/>
    <w:rsid w:val="007D3E7A"/>
    <w:rsid w:val="007D47C9"/>
    <w:rsid w:val="007D7C58"/>
    <w:rsid w:val="007E480D"/>
    <w:rsid w:val="007E7522"/>
    <w:rsid w:val="007E7922"/>
    <w:rsid w:val="00804E24"/>
    <w:rsid w:val="0080611E"/>
    <w:rsid w:val="00806692"/>
    <w:rsid w:val="00813057"/>
    <w:rsid w:val="00820F61"/>
    <w:rsid w:val="00825BC4"/>
    <w:rsid w:val="00827C0C"/>
    <w:rsid w:val="00836223"/>
    <w:rsid w:val="0084384C"/>
    <w:rsid w:val="00843DB3"/>
    <w:rsid w:val="0084586E"/>
    <w:rsid w:val="008465EC"/>
    <w:rsid w:val="00876C11"/>
    <w:rsid w:val="0088206E"/>
    <w:rsid w:val="00882EA2"/>
    <w:rsid w:val="00885A31"/>
    <w:rsid w:val="008921CD"/>
    <w:rsid w:val="00893C52"/>
    <w:rsid w:val="008B0746"/>
    <w:rsid w:val="008B1515"/>
    <w:rsid w:val="008B3420"/>
    <w:rsid w:val="008B50E8"/>
    <w:rsid w:val="008B70B1"/>
    <w:rsid w:val="008C0635"/>
    <w:rsid w:val="008C6213"/>
    <w:rsid w:val="008D05D6"/>
    <w:rsid w:val="008D105F"/>
    <w:rsid w:val="008D446D"/>
    <w:rsid w:val="008D5785"/>
    <w:rsid w:val="008F1F39"/>
    <w:rsid w:val="008F5FA3"/>
    <w:rsid w:val="0090247B"/>
    <w:rsid w:val="00902769"/>
    <w:rsid w:val="00904E74"/>
    <w:rsid w:val="00914A4E"/>
    <w:rsid w:val="0091517C"/>
    <w:rsid w:val="009211B9"/>
    <w:rsid w:val="009242E4"/>
    <w:rsid w:val="00926232"/>
    <w:rsid w:val="009330D8"/>
    <w:rsid w:val="009336CA"/>
    <w:rsid w:val="00945B36"/>
    <w:rsid w:val="00964BBF"/>
    <w:rsid w:val="00967812"/>
    <w:rsid w:val="00967E54"/>
    <w:rsid w:val="0097064D"/>
    <w:rsid w:val="00987D11"/>
    <w:rsid w:val="00990DD8"/>
    <w:rsid w:val="00993091"/>
    <w:rsid w:val="009A05C5"/>
    <w:rsid w:val="009B7587"/>
    <w:rsid w:val="009C0996"/>
    <w:rsid w:val="009C236B"/>
    <w:rsid w:val="009C38A6"/>
    <w:rsid w:val="009D2EA8"/>
    <w:rsid w:val="009D6E8D"/>
    <w:rsid w:val="009D7945"/>
    <w:rsid w:val="009E41CE"/>
    <w:rsid w:val="009E6B6B"/>
    <w:rsid w:val="00A00FE3"/>
    <w:rsid w:val="00A21ECF"/>
    <w:rsid w:val="00A42DC6"/>
    <w:rsid w:val="00A45F34"/>
    <w:rsid w:val="00A461CC"/>
    <w:rsid w:val="00A50B42"/>
    <w:rsid w:val="00A55A9B"/>
    <w:rsid w:val="00A569DE"/>
    <w:rsid w:val="00A60FB3"/>
    <w:rsid w:val="00A647D1"/>
    <w:rsid w:val="00A65DF3"/>
    <w:rsid w:val="00A66B5A"/>
    <w:rsid w:val="00A74DB8"/>
    <w:rsid w:val="00A85B69"/>
    <w:rsid w:val="00A90E8F"/>
    <w:rsid w:val="00A9408B"/>
    <w:rsid w:val="00AA07A8"/>
    <w:rsid w:val="00AA5441"/>
    <w:rsid w:val="00AA7232"/>
    <w:rsid w:val="00AB2FC2"/>
    <w:rsid w:val="00AB5BA4"/>
    <w:rsid w:val="00AC3D0A"/>
    <w:rsid w:val="00AC44D4"/>
    <w:rsid w:val="00AD59DB"/>
    <w:rsid w:val="00AD7BDD"/>
    <w:rsid w:val="00AF3837"/>
    <w:rsid w:val="00AF3D40"/>
    <w:rsid w:val="00B00FBE"/>
    <w:rsid w:val="00B07A99"/>
    <w:rsid w:val="00B119F4"/>
    <w:rsid w:val="00B13CBC"/>
    <w:rsid w:val="00B16886"/>
    <w:rsid w:val="00B23242"/>
    <w:rsid w:val="00B302D6"/>
    <w:rsid w:val="00B33A7B"/>
    <w:rsid w:val="00B41390"/>
    <w:rsid w:val="00B56734"/>
    <w:rsid w:val="00B60F34"/>
    <w:rsid w:val="00B6606B"/>
    <w:rsid w:val="00B66574"/>
    <w:rsid w:val="00B73D26"/>
    <w:rsid w:val="00B8213C"/>
    <w:rsid w:val="00B82EF6"/>
    <w:rsid w:val="00B87E50"/>
    <w:rsid w:val="00B90602"/>
    <w:rsid w:val="00B94738"/>
    <w:rsid w:val="00BA7BDB"/>
    <w:rsid w:val="00BB0779"/>
    <w:rsid w:val="00BB231B"/>
    <w:rsid w:val="00BB49DB"/>
    <w:rsid w:val="00BB663E"/>
    <w:rsid w:val="00BB73A8"/>
    <w:rsid w:val="00BC6789"/>
    <w:rsid w:val="00BC711F"/>
    <w:rsid w:val="00BD0D2D"/>
    <w:rsid w:val="00BD3DD2"/>
    <w:rsid w:val="00BD4618"/>
    <w:rsid w:val="00BD629D"/>
    <w:rsid w:val="00BD65B9"/>
    <w:rsid w:val="00BE1290"/>
    <w:rsid w:val="00BE2261"/>
    <w:rsid w:val="00BE4B56"/>
    <w:rsid w:val="00BE6A61"/>
    <w:rsid w:val="00BF5017"/>
    <w:rsid w:val="00C00178"/>
    <w:rsid w:val="00C012D9"/>
    <w:rsid w:val="00C01CAC"/>
    <w:rsid w:val="00C02295"/>
    <w:rsid w:val="00C041EE"/>
    <w:rsid w:val="00C11468"/>
    <w:rsid w:val="00C13B2C"/>
    <w:rsid w:val="00C20845"/>
    <w:rsid w:val="00C277BD"/>
    <w:rsid w:val="00C37F07"/>
    <w:rsid w:val="00C37FF7"/>
    <w:rsid w:val="00C40C8B"/>
    <w:rsid w:val="00C46320"/>
    <w:rsid w:val="00C50CDF"/>
    <w:rsid w:val="00C662D1"/>
    <w:rsid w:val="00C738C0"/>
    <w:rsid w:val="00C82121"/>
    <w:rsid w:val="00C83218"/>
    <w:rsid w:val="00C90E6F"/>
    <w:rsid w:val="00C95889"/>
    <w:rsid w:val="00CA5C64"/>
    <w:rsid w:val="00CA6804"/>
    <w:rsid w:val="00CB4253"/>
    <w:rsid w:val="00CB7477"/>
    <w:rsid w:val="00CD27F3"/>
    <w:rsid w:val="00CE2E62"/>
    <w:rsid w:val="00CE36CF"/>
    <w:rsid w:val="00CF63BB"/>
    <w:rsid w:val="00CF70E4"/>
    <w:rsid w:val="00D02926"/>
    <w:rsid w:val="00D1041F"/>
    <w:rsid w:val="00D139F5"/>
    <w:rsid w:val="00D22A15"/>
    <w:rsid w:val="00D25B33"/>
    <w:rsid w:val="00D407CD"/>
    <w:rsid w:val="00D408AD"/>
    <w:rsid w:val="00D44364"/>
    <w:rsid w:val="00D468E5"/>
    <w:rsid w:val="00D4710E"/>
    <w:rsid w:val="00D523F5"/>
    <w:rsid w:val="00D604CD"/>
    <w:rsid w:val="00D65AA0"/>
    <w:rsid w:val="00D713FD"/>
    <w:rsid w:val="00D7152A"/>
    <w:rsid w:val="00D862C4"/>
    <w:rsid w:val="00D87941"/>
    <w:rsid w:val="00D92EF1"/>
    <w:rsid w:val="00D9353A"/>
    <w:rsid w:val="00DA4DF7"/>
    <w:rsid w:val="00DA6217"/>
    <w:rsid w:val="00DB1AA2"/>
    <w:rsid w:val="00DD1799"/>
    <w:rsid w:val="00DD3C76"/>
    <w:rsid w:val="00DE2AE0"/>
    <w:rsid w:val="00DE3B9B"/>
    <w:rsid w:val="00DE6DE5"/>
    <w:rsid w:val="00DE6EF8"/>
    <w:rsid w:val="00DF53E9"/>
    <w:rsid w:val="00E005CE"/>
    <w:rsid w:val="00E00E57"/>
    <w:rsid w:val="00E03F2E"/>
    <w:rsid w:val="00E24675"/>
    <w:rsid w:val="00E44EB4"/>
    <w:rsid w:val="00E45B78"/>
    <w:rsid w:val="00E61105"/>
    <w:rsid w:val="00E72446"/>
    <w:rsid w:val="00E72BA3"/>
    <w:rsid w:val="00E7797E"/>
    <w:rsid w:val="00EA31A4"/>
    <w:rsid w:val="00EA391E"/>
    <w:rsid w:val="00EA5AAD"/>
    <w:rsid w:val="00EA7A69"/>
    <w:rsid w:val="00EB25B5"/>
    <w:rsid w:val="00EB5FDE"/>
    <w:rsid w:val="00EB713B"/>
    <w:rsid w:val="00EC4775"/>
    <w:rsid w:val="00ED2AE4"/>
    <w:rsid w:val="00EE01E4"/>
    <w:rsid w:val="00EE3A65"/>
    <w:rsid w:val="00EE4622"/>
    <w:rsid w:val="00EF3144"/>
    <w:rsid w:val="00EF756C"/>
    <w:rsid w:val="00F0059D"/>
    <w:rsid w:val="00F00B0F"/>
    <w:rsid w:val="00F05ABC"/>
    <w:rsid w:val="00F06F43"/>
    <w:rsid w:val="00F07328"/>
    <w:rsid w:val="00F152E8"/>
    <w:rsid w:val="00F34996"/>
    <w:rsid w:val="00F40B4D"/>
    <w:rsid w:val="00F50243"/>
    <w:rsid w:val="00F53743"/>
    <w:rsid w:val="00F632B7"/>
    <w:rsid w:val="00F65928"/>
    <w:rsid w:val="00F6740C"/>
    <w:rsid w:val="00F73B08"/>
    <w:rsid w:val="00F84BCB"/>
    <w:rsid w:val="00F85DDD"/>
    <w:rsid w:val="00F92FB2"/>
    <w:rsid w:val="00F95B39"/>
    <w:rsid w:val="00F95CBF"/>
    <w:rsid w:val="00FA4E3B"/>
    <w:rsid w:val="00FA6747"/>
    <w:rsid w:val="00FB0DB0"/>
    <w:rsid w:val="00FB7CEF"/>
    <w:rsid w:val="00FC1C8B"/>
    <w:rsid w:val="00FC4A81"/>
    <w:rsid w:val="00FD2C41"/>
    <w:rsid w:val="00FD3DAD"/>
    <w:rsid w:val="00FD40A0"/>
    <w:rsid w:val="00FD6735"/>
    <w:rsid w:val="00FE6594"/>
    <w:rsid w:val="00FF1876"/>
    <w:rsid w:val="00FF455D"/>
    <w:rsid w:val="00FF4CA5"/>
    <w:rsid w:val="00FF6693"/>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47B98-620D-416E-A56F-2DE401F6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Ron Bacurin</cp:lastModifiedBy>
  <cp:revision>21</cp:revision>
  <cp:lastPrinted>2013-05-10T16:48:00Z</cp:lastPrinted>
  <dcterms:created xsi:type="dcterms:W3CDTF">2013-05-09T01:07:00Z</dcterms:created>
  <dcterms:modified xsi:type="dcterms:W3CDTF">2013-05-10T16:49:00Z</dcterms:modified>
</cp:coreProperties>
</file>