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6B119A" w:rsidRPr="001E5B7F">
          <w:rPr>
            <w:rStyle w:val="Hyperlink"/>
          </w:rPr>
          <w:t>ConferenceQandA@jud.ca.gov</w:t>
        </w:r>
      </w:hyperlink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RFPby</w:t>
      </w:r>
      <w:r w:rsidR="000A2F4C" w:rsidRPr="00A02A60">
        <w:rPr>
          <w:color w:val="000000"/>
        </w:rPr>
        <w:t>posting an addendum on the California Courts Website located at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reject all proposals and cancel the </w:t>
      </w:r>
      <w:r w:rsidRPr="00C32AF4">
        <w:rPr>
          <w:color w:val="000000" w:themeColor="text1"/>
        </w:rPr>
        <w:lastRenderedPageBreak/>
        <w:t xml:space="preserve">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</w:t>
      </w:r>
      <w:r w:rsidR="0065558F">
        <w:rPr>
          <w:color w:val="000000" w:themeColor="text1"/>
        </w:rPr>
        <w:lastRenderedPageBreak/>
        <w:t>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AF7D78">
        <w:rPr>
          <w:color w:val="000000" w:themeColor="text1"/>
        </w:rPr>
        <w:t>Bidder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4E" w:rsidRDefault="00004E4E" w:rsidP="00945FF4">
      <w:r>
        <w:separator/>
      </w:r>
    </w:p>
  </w:endnote>
  <w:endnote w:type="continuationSeparator" w:id="0">
    <w:p w:rsidR="00004E4E" w:rsidRDefault="00004E4E" w:rsidP="009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721A98" w:rsidRPr="00DD1614">
      <w:rPr>
        <w:b/>
        <w:sz w:val="20"/>
        <w:szCs w:val="20"/>
      </w:rPr>
      <w:fldChar w:fldCharType="separate"/>
    </w:r>
    <w:r w:rsidR="00040006">
      <w:rPr>
        <w:b/>
        <w:noProof/>
        <w:sz w:val="20"/>
        <w:szCs w:val="20"/>
      </w:rPr>
      <w:t>1</w:t>
    </w:r>
    <w:r w:rsidR="00721A98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721A98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721A98" w:rsidRPr="00DD1614">
      <w:rPr>
        <w:b/>
        <w:sz w:val="20"/>
        <w:szCs w:val="20"/>
      </w:rPr>
      <w:fldChar w:fldCharType="separate"/>
    </w:r>
    <w:r w:rsidR="00040006">
      <w:rPr>
        <w:b/>
        <w:noProof/>
        <w:sz w:val="20"/>
        <w:szCs w:val="20"/>
      </w:rPr>
      <w:t>6</w:t>
    </w:r>
    <w:r w:rsidR="00721A98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4E" w:rsidRDefault="00004E4E" w:rsidP="00945FF4">
      <w:r>
        <w:separator/>
      </w:r>
    </w:p>
  </w:footnote>
  <w:footnote w:type="continuationSeparator" w:id="0">
    <w:p w:rsidR="00004E4E" w:rsidRDefault="00004E4E" w:rsidP="0094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9A2C95">
      <w:rPr>
        <w:i/>
        <w:color w:val="FF0000"/>
        <w:sz w:val="22"/>
        <w:szCs w:val="22"/>
      </w:rPr>
      <w:t xml:space="preserve">EAC </w:t>
    </w:r>
    <w:r w:rsidR="004D143E">
      <w:rPr>
        <w:i/>
        <w:color w:val="FF0000"/>
        <w:sz w:val="22"/>
        <w:szCs w:val="22"/>
      </w:rPr>
      <w:t>Room Block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040006">
      <w:rPr>
        <w:i/>
        <w:color w:val="FF0000"/>
        <w:sz w:val="22"/>
        <w:szCs w:val="22"/>
      </w:rPr>
      <w:t xml:space="preserve"> CRSEG256</w:t>
    </w:r>
  </w:p>
  <w:p w:rsidR="00945FF4" w:rsidRDefault="00945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2CB8"/>
    <w:rsid w:val="00004E4E"/>
    <w:rsid w:val="00005A6D"/>
    <w:rsid w:val="00023001"/>
    <w:rsid w:val="00040006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143E"/>
    <w:rsid w:val="004D26FC"/>
    <w:rsid w:val="005A75FE"/>
    <w:rsid w:val="005D0E34"/>
    <w:rsid w:val="005F46B8"/>
    <w:rsid w:val="006235A2"/>
    <w:rsid w:val="00633DA3"/>
    <w:rsid w:val="00652D5C"/>
    <w:rsid w:val="0065558F"/>
    <w:rsid w:val="00671935"/>
    <w:rsid w:val="00686FD9"/>
    <w:rsid w:val="006B119A"/>
    <w:rsid w:val="006D02D3"/>
    <w:rsid w:val="006E1CEB"/>
    <w:rsid w:val="00703675"/>
    <w:rsid w:val="00721A98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31F5"/>
    <w:rsid w:val="009A2C9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5411A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D4B7"/>
  <w15:docId w15:val="{2C475C86-0D0B-4378-BD08-43827BDF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QandA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D272-379D-4100-BEB1-423B1272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Evelyn</cp:lastModifiedBy>
  <cp:revision>6</cp:revision>
  <cp:lastPrinted>2016-10-21T17:21:00Z</cp:lastPrinted>
  <dcterms:created xsi:type="dcterms:W3CDTF">2016-09-21T17:15:00Z</dcterms:created>
  <dcterms:modified xsi:type="dcterms:W3CDTF">2018-03-07T22:58:00Z</dcterms:modified>
</cp:coreProperties>
</file>