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307672">
      <w:pPr>
        <w:pStyle w:val="Heading10"/>
        <w:keepNext w:val="0"/>
        <w:ind w:right="288"/>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307672">
      <w:pPr>
        <w:pStyle w:val="Heading10"/>
        <w:keepNext w:val="0"/>
        <w:ind w:right="288"/>
      </w:pPr>
      <w:r w:rsidRPr="006212CD">
        <w:t xml:space="preserve">Administrative Rules Governing </w:t>
      </w:r>
      <w:r w:rsidR="009D1BBC" w:rsidRPr="006212CD">
        <w:t>RFPS</w:t>
      </w:r>
    </w:p>
    <w:p w:rsidR="009D1BBC" w:rsidRPr="006212CD" w:rsidRDefault="008A7439" w:rsidP="00307672">
      <w:pPr>
        <w:pStyle w:val="Heading10"/>
        <w:keepNext w:val="0"/>
        <w:ind w:right="288"/>
      </w:pPr>
      <w:r w:rsidRPr="006212CD">
        <w:t>(</w:t>
      </w:r>
      <w:r w:rsidR="009D1BBC" w:rsidRPr="006212CD">
        <w:t>Non-IT SERVICES</w:t>
      </w:r>
      <w:r w:rsidRPr="006212CD">
        <w:t>)</w:t>
      </w:r>
    </w:p>
    <w:p w:rsidR="00307672" w:rsidRPr="006212CD" w:rsidRDefault="00307672" w:rsidP="00307672">
      <w:pPr>
        <w:pStyle w:val="Heading10"/>
        <w:keepNext w:val="0"/>
        <w:ind w:right="288"/>
        <w:rPr>
          <w:color w:val="000000" w:themeColor="text1"/>
          <w:sz w:val="26"/>
          <w:szCs w:val="26"/>
        </w:rPr>
      </w:pPr>
    </w:p>
    <w:p w:rsidR="00307672" w:rsidRPr="006212C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4F05B6">
        <w:rPr>
          <w:rFonts w:ascii="Times New Roman Bold" w:hAnsi="Times New Roman Bold"/>
          <w:b/>
          <w:caps/>
          <w:color w:val="000000" w:themeColor="text1"/>
          <w:szCs w:val="20"/>
          <w:u w:val="none"/>
        </w:rPr>
        <w:t xml:space="preserve"> </w:t>
      </w:r>
      <w:r w:rsidR="002E6CFF">
        <w:rPr>
          <w:rFonts w:ascii="Times New Roman Bold" w:hAnsi="Times New Roman Bold"/>
          <w:b/>
          <w:caps/>
          <w:color w:val="000000" w:themeColor="text1"/>
          <w:szCs w:val="20"/>
          <w:u w:val="none"/>
        </w:rPr>
        <w:t>(a</w:t>
      </w:r>
      <w:r w:rsidR="007C19C2" w:rsidRPr="006212CD">
        <w:rPr>
          <w:rFonts w:ascii="Times New Roman Bold" w:hAnsi="Times New Roman Bold"/>
          <w:b/>
          <w:caps/>
          <w:color w:val="000000" w:themeColor="text1"/>
          <w:szCs w:val="20"/>
          <w:u w:val="none"/>
        </w:rPr>
        <w:t>OC</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2E6CFF">
      <w:pPr>
        <w:pStyle w:val="ExhibitC2"/>
        <w:numPr>
          <w:ilvl w:val="0"/>
          <w:numId w:val="0"/>
        </w:numPr>
        <w:spacing w:before="120" w:after="120"/>
        <w:ind w:left="720" w:right="144"/>
        <w:jc w:val="both"/>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8"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184230" w:rsidRDefault="00307672" w:rsidP="002E6CFF">
      <w:pPr>
        <w:pStyle w:val="ExhibitC2"/>
        <w:numPr>
          <w:ilvl w:val="0"/>
          <w:numId w:val="9"/>
        </w:numPr>
        <w:spacing w:before="120" w:after="120"/>
        <w:ind w:left="1440" w:right="144" w:hanging="720"/>
        <w:jc w:val="both"/>
        <w:rPr>
          <w:color w:val="000000" w:themeColor="text1"/>
        </w:rPr>
      </w:pPr>
      <w:r w:rsidRPr="006212CD">
        <w:rPr>
          <w:color w:val="000000" w:themeColor="text1"/>
        </w:rPr>
        <w:t>Proposers interested in responding to the RFP may submit questions via email to the Solicitations Mailbox</w:t>
      </w:r>
      <w:r w:rsidR="00F071CE" w:rsidRPr="006212CD">
        <w:rPr>
          <w:color w:val="000000" w:themeColor="text1"/>
        </w:rPr>
        <w:t xml:space="preserve"> </w:t>
      </w:r>
      <w:r w:rsidRPr="006212CD">
        <w:rPr>
          <w:color w:val="000000" w:themeColor="text1"/>
        </w:rPr>
        <w:t xml:space="preserve">on procedural matters related to the RFP or requests for clarification or modification of </w:t>
      </w:r>
      <w:r w:rsidR="00CC3379" w:rsidRPr="006212CD">
        <w:rPr>
          <w:color w:val="000000" w:themeColor="text1"/>
        </w:rPr>
        <w:t>the</w:t>
      </w:r>
      <w:r w:rsidRPr="006212CD">
        <w:rPr>
          <w:color w:val="000000" w:themeColor="text1"/>
        </w:rPr>
        <w:t xml:space="preserve"> RFP no later than the deadline for questions listed </w:t>
      </w:r>
      <w:r w:rsidR="00B5411A" w:rsidRPr="006212CD">
        <w:rPr>
          <w:color w:val="000000" w:themeColor="text1"/>
        </w:rPr>
        <w:t>in</w:t>
      </w:r>
      <w:r w:rsidRPr="006212CD">
        <w:rPr>
          <w:color w:val="000000" w:themeColor="text1"/>
        </w:rPr>
        <w:t xml:space="preserve"> the </w:t>
      </w:r>
      <w:r w:rsidR="00F071CE"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w:t>
      </w:r>
      <w:r w:rsidR="00DC590A" w:rsidRPr="006212CD">
        <w:rPr>
          <w:color w:val="000000" w:themeColor="text1"/>
        </w:rPr>
        <w:t xml:space="preserve">Once submitted, questions become part of the procurement file and are subject to disclosure; Proposers are accordingly cautioned not to include any proprietary or confidential information in questions.  </w:t>
      </w:r>
      <w:r w:rsidRPr="006212CD">
        <w:rPr>
          <w:color w:val="000000" w:themeColor="text1"/>
        </w:rPr>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w:t>
      </w:r>
      <w:r w:rsidR="00207146" w:rsidRPr="00207146">
        <w:rPr>
          <w:color w:val="000000" w:themeColor="text1"/>
        </w:rPr>
        <w:t>the AOC Contracting Officer will post a copy of both the questions and the AOC’s responses on the Courts web site.</w:t>
      </w:r>
    </w:p>
    <w:p w:rsidR="00207146" w:rsidRPr="00207146" w:rsidRDefault="00207146" w:rsidP="002E6CFF">
      <w:pPr>
        <w:pStyle w:val="ExhibitC2"/>
        <w:numPr>
          <w:ilvl w:val="0"/>
          <w:numId w:val="9"/>
        </w:numPr>
        <w:spacing w:before="120" w:after="120"/>
        <w:ind w:left="1440" w:right="144" w:hanging="720"/>
        <w:jc w:val="both"/>
        <w:rPr>
          <w:color w:val="000000" w:themeColor="text1"/>
        </w:rPr>
      </w:pPr>
      <w:r w:rsidRPr="00207146">
        <w:rPr>
          <w:color w:val="000000" w:themeColor="text1"/>
        </w:rPr>
        <w:t>All submissions must contain the RFP number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proposer’s submission.</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lastRenderedPageBreak/>
        <w:t>ADDENDA</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WITHDRAWAL AND RESUBMISSION/MODIFICATION OF PROPOSALS</w:t>
      </w:r>
    </w:p>
    <w:p w:rsidR="00307672" w:rsidRPr="006212CD" w:rsidRDefault="00307672" w:rsidP="002E6CFF">
      <w:pPr>
        <w:pStyle w:val="ExhibitC2"/>
        <w:numPr>
          <w:ilvl w:val="0"/>
          <w:numId w:val="0"/>
        </w:numPr>
        <w:spacing w:before="120" w:after="120"/>
        <w:ind w:left="720" w:right="144"/>
        <w:jc w:val="both"/>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2E6CFF">
      <w:pPr>
        <w:pStyle w:val="ExhibitC2"/>
        <w:numPr>
          <w:ilvl w:val="0"/>
          <w:numId w:val="0"/>
        </w:numPr>
        <w:spacing w:before="120" w:after="120"/>
        <w:ind w:left="720" w:right="144"/>
        <w:jc w:val="both"/>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2E6CFF">
      <w:pPr>
        <w:pStyle w:val="ExhibitC2"/>
        <w:spacing w:before="120" w:after="120"/>
        <w:ind w:right="144"/>
        <w:jc w:val="both"/>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2E6CFF">
      <w:pPr>
        <w:pStyle w:val="ExhibitC2"/>
        <w:spacing w:before="120" w:after="120"/>
        <w:ind w:right="144"/>
        <w:jc w:val="both"/>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2E6CFF">
      <w:pPr>
        <w:pStyle w:val="ExhibitC2"/>
        <w:spacing w:before="120" w:after="120"/>
        <w:ind w:right="144"/>
        <w:jc w:val="both"/>
        <w:rPr>
          <w:color w:val="000000" w:themeColor="text1"/>
        </w:rPr>
      </w:pPr>
      <w:r w:rsidRPr="006212CD">
        <w:rPr>
          <w:color w:val="000000" w:themeColor="text1"/>
        </w:rPr>
        <w:lastRenderedPageBreak/>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2E6CFF">
      <w:pPr>
        <w:pStyle w:val="ExhibitC2"/>
        <w:numPr>
          <w:ilvl w:val="0"/>
          <w:numId w:val="0"/>
        </w:numPr>
        <w:spacing w:before="120" w:after="120"/>
        <w:ind w:left="1440" w:right="144" w:hanging="720"/>
        <w:jc w:val="both"/>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EVALUATION PROCESS</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2E6CFF">
      <w:pPr>
        <w:pStyle w:val="ExhibitC2"/>
        <w:numPr>
          <w:ilvl w:val="0"/>
          <w:numId w:val="0"/>
        </w:numPr>
        <w:spacing w:before="120" w:after="120"/>
        <w:ind w:left="1440" w:right="144" w:hanging="720"/>
        <w:jc w:val="both"/>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2E6CFF">
      <w:pPr>
        <w:pStyle w:val="ExhibitC2"/>
        <w:numPr>
          <w:ilvl w:val="0"/>
          <w:numId w:val="0"/>
        </w:numPr>
        <w:spacing w:before="120" w:after="120"/>
        <w:ind w:left="1440" w:right="144" w:hanging="720"/>
        <w:jc w:val="both"/>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2E6CFF">
      <w:pPr>
        <w:pStyle w:val="ExhibitC2"/>
        <w:numPr>
          <w:ilvl w:val="0"/>
          <w:numId w:val="0"/>
        </w:numPr>
        <w:spacing w:before="120" w:after="120"/>
        <w:ind w:left="1440" w:right="144" w:hanging="720"/>
        <w:jc w:val="both"/>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2E6CFF">
      <w:pPr>
        <w:pStyle w:val="ExhibitC2"/>
        <w:numPr>
          <w:ilvl w:val="0"/>
          <w:numId w:val="0"/>
        </w:numPr>
        <w:spacing w:before="120" w:after="120"/>
        <w:ind w:left="720" w:right="144"/>
        <w:jc w:val="both"/>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2E6CFF">
      <w:pPr>
        <w:pStyle w:val="ExhibitC2"/>
        <w:numPr>
          <w:ilvl w:val="0"/>
          <w:numId w:val="0"/>
        </w:numPr>
        <w:spacing w:before="120" w:after="120"/>
        <w:ind w:left="1440" w:right="144" w:hanging="720"/>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2E6CFF">
      <w:pPr>
        <w:pStyle w:val="ExhibitC2"/>
        <w:numPr>
          <w:ilvl w:val="0"/>
          <w:numId w:val="0"/>
        </w:numPr>
        <w:spacing w:before="120" w:after="120"/>
        <w:ind w:left="1440" w:right="144" w:hanging="720"/>
        <w:jc w:val="both"/>
        <w:rPr>
          <w:color w:val="000000" w:themeColor="text1"/>
        </w:rPr>
      </w:pPr>
      <w:r w:rsidRPr="006212CD">
        <w:rPr>
          <w:color w:val="000000" w:themeColor="text1"/>
        </w:rPr>
        <w:t>A.</w:t>
      </w:r>
      <w:r w:rsidRPr="006212CD">
        <w:rPr>
          <w:color w:val="000000" w:themeColor="text1"/>
        </w:rPr>
        <w:tab/>
        <w:t>Award of contract, if made, will be in accordance with the RFP to a responsible Proposer submitting a proposal compliant with all the requirements of the RFP 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2E6CFF">
      <w:pPr>
        <w:pStyle w:val="ExhibitC2"/>
        <w:numPr>
          <w:ilvl w:val="0"/>
          <w:numId w:val="0"/>
        </w:numPr>
        <w:spacing w:before="120" w:after="120"/>
        <w:ind w:left="1440" w:right="144" w:hanging="720"/>
        <w:jc w:val="both"/>
        <w:rPr>
          <w:color w:val="000000" w:themeColor="text1"/>
        </w:rPr>
      </w:pPr>
      <w:r w:rsidRPr="006212CD">
        <w:rPr>
          <w:color w:val="000000" w:themeColor="text1"/>
        </w:rPr>
        <w:lastRenderedPageBreak/>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2E6CFF">
      <w:pPr>
        <w:pStyle w:val="ExhibitC2"/>
        <w:numPr>
          <w:ilvl w:val="0"/>
          <w:numId w:val="0"/>
        </w:numPr>
        <w:spacing w:before="120" w:after="120"/>
        <w:ind w:left="1440" w:right="144" w:hanging="720"/>
        <w:jc w:val="both"/>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forty-five (45) days of selecting a proposal that best meets its requirements. However, exceptions taken by a Proposer may delay execution of a contract.</w:t>
      </w:r>
    </w:p>
    <w:p w:rsidR="00307672" w:rsidRPr="006212CD" w:rsidRDefault="00212091" w:rsidP="002E6CFF">
      <w:pPr>
        <w:pStyle w:val="ExhibitC2"/>
        <w:numPr>
          <w:ilvl w:val="0"/>
          <w:numId w:val="0"/>
        </w:numPr>
        <w:spacing w:before="120" w:after="120"/>
        <w:ind w:left="1440" w:right="144" w:hanging="720"/>
        <w:jc w:val="both"/>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2E6CFF">
      <w:pPr>
        <w:pStyle w:val="ExhibitC2"/>
        <w:numPr>
          <w:ilvl w:val="0"/>
          <w:numId w:val="0"/>
        </w:numPr>
        <w:spacing w:before="120" w:after="120"/>
        <w:ind w:left="720" w:right="144"/>
        <w:jc w:val="both"/>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2E6CFF">
      <w:pPr>
        <w:pStyle w:val="ExhibitC2"/>
        <w:numPr>
          <w:ilvl w:val="0"/>
          <w:numId w:val="0"/>
        </w:numPr>
        <w:spacing w:before="120" w:after="120"/>
        <w:ind w:left="720" w:right="144"/>
        <w:jc w:val="both"/>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2E6CFF">
      <w:pPr>
        <w:pStyle w:val="Heading10"/>
        <w:ind w:left="1440" w:right="144" w:hanging="720"/>
        <w:jc w:val="both"/>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2E6CFF">
      <w:pPr>
        <w:pStyle w:val="Heading10"/>
        <w:ind w:left="1440" w:right="144" w:hanging="720"/>
        <w:jc w:val="both"/>
        <w:rPr>
          <w:b w:val="0"/>
          <w:caps w:val="0"/>
          <w:color w:val="000000" w:themeColor="text1"/>
        </w:rPr>
      </w:pPr>
    </w:p>
    <w:p w:rsidR="00307672" w:rsidRPr="006212CD" w:rsidRDefault="00307672" w:rsidP="002E6CFF">
      <w:pPr>
        <w:pStyle w:val="Heading10"/>
        <w:ind w:left="1440" w:right="144" w:hanging="720"/>
        <w:jc w:val="both"/>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2E6CFF">
      <w:pPr>
        <w:pStyle w:val="Heading10"/>
        <w:ind w:left="1440" w:right="144" w:hanging="720"/>
        <w:jc w:val="both"/>
        <w:rPr>
          <w:b w:val="0"/>
          <w:caps w:val="0"/>
          <w:color w:val="000000" w:themeColor="text1"/>
        </w:rPr>
      </w:pPr>
    </w:p>
    <w:p w:rsidR="0088206E" w:rsidRPr="006212CD" w:rsidRDefault="00307672" w:rsidP="002E6CFF">
      <w:pPr>
        <w:pStyle w:val="Heading10"/>
        <w:keepNext w:val="0"/>
        <w:ind w:left="1440" w:right="144" w:hanging="720"/>
        <w:jc w:val="both"/>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w:t>
      </w:r>
      <w:r w:rsidRPr="006212CD">
        <w:rPr>
          <w:b w:val="0"/>
          <w:caps w:val="0"/>
          <w:color w:val="000000" w:themeColor="text1"/>
        </w:rPr>
        <w:lastRenderedPageBreak/>
        <w:t xml:space="preserve">(a)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 (See Government Code section 4554.)</w:t>
      </w:r>
    </w:p>
    <w:p w:rsidR="00CD614D" w:rsidRPr="006212CD" w:rsidRDefault="00EE33CB"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AMERICANS WITH DISABILITIES ACT</w:t>
      </w:r>
    </w:p>
    <w:p w:rsidR="007C19C2" w:rsidRDefault="00CD614D" w:rsidP="002E6CFF">
      <w:pPr>
        <w:pStyle w:val="Heading10"/>
        <w:keepNext w:val="0"/>
        <w:ind w:left="720" w:right="144" w:firstLine="0"/>
        <w:jc w:val="both"/>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9" w:history="1">
        <w:r w:rsidR="007C19C2" w:rsidRPr="006212CD">
          <w:rPr>
            <w:rStyle w:val="Hyperlink"/>
            <w:b w:val="0"/>
            <w:caps w:val="0"/>
          </w:rPr>
          <w:t>Solicitations@jud.ca.gov</w:t>
        </w:r>
      </w:hyperlink>
      <w:r w:rsidR="007C19C2" w:rsidRPr="006212CD">
        <w:rPr>
          <w:b w:val="0"/>
          <w:caps w:val="0"/>
          <w:color w:val="000000" w:themeColor="text1"/>
        </w:rPr>
        <w:t>.</w:t>
      </w:r>
    </w:p>
    <w:p w:rsidR="00861659" w:rsidRDefault="00861659" w:rsidP="002E6CFF">
      <w:pPr>
        <w:pStyle w:val="Heading10"/>
        <w:keepNext w:val="0"/>
        <w:ind w:left="720" w:right="144" w:firstLine="0"/>
        <w:jc w:val="left"/>
        <w:rPr>
          <w:b w:val="0"/>
          <w:caps w:val="0"/>
          <w:color w:val="000000" w:themeColor="text1"/>
        </w:rPr>
      </w:pPr>
    </w:p>
    <w:p w:rsidR="00861659" w:rsidRDefault="00861659" w:rsidP="002E6CFF">
      <w:pPr>
        <w:pStyle w:val="Heading10"/>
        <w:keepNext w:val="0"/>
        <w:ind w:left="720" w:right="144" w:firstLine="0"/>
        <w:jc w:val="left"/>
        <w:rPr>
          <w:b w:val="0"/>
          <w:caps w:val="0"/>
          <w:color w:val="000000" w:themeColor="text1"/>
        </w:rPr>
      </w:pPr>
    </w:p>
    <w:p w:rsidR="00861659" w:rsidRPr="00861659" w:rsidRDefault="00861659" w:rsidP="002E6CFF">
      <w:pPr>
        <w:pStyle w:val="Heading10"/>
        <w:keepNext w:val="0"/>
        <w:ind w:left="720" w:right="144" w:firstLine="0"/>
        <w:rPr>
          <w:i/>
          <w:caps w:val="0"/>
          <w:color w:val="000000" w:themeColor="text1"/>
        </w:rPr>
      </w:pPr>
      <w:r w:rsidRPr="00861659">
        <w:rPr>
          <w:i/>
          <w:caps w:val="0"/>
          <w:color w:val="000000" w:themeColor="text1"/>
        </w:rPr>
        <w:t>END OF ATTACHMENT</w:t>
      </w:r>
    </w:p>
    <w:sectPr w:rsidR="00861659" w:rsidRPr="00861659" w:rsidSect="00861659">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B6" w:rsidRDefault="004F05B6" w:rsidP="00FE3A85">
      <w:r>
        <w:separator/>
      </w:r>
    </w:p>
  </w:endnote>
  <w:endnote w:type="continuationSeparator" w:id="0">
    <w:p w:rsidR="004F05B6" w:rsidRDefault="004F05B6"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B6" w:rsidRDefault="004F05B6" w:rsidP="00861659">
    <w:pPr>
      <w:pStyle w:val="Footer"/>
      <w:jc w:val="right"/>
    </w:pPr>
    <w:r>
      <w:t xml:space="preserve">Page </w:t>
    </w:r>
    <w:fldSimple w:instr=" PAGE   \* MERGEFORMAT ">
      <w:r w:rsidR="002214C0">
        <w:rPr>
          <w:noProof/>
        </w:rPr>
        <w:t>5</w:t>
      </w:r>
    </w:fldSimple>
    <w:r>
      <w:t xml:space="preserve"> of </w:t>
    </w:r>
    <w:fldSimple w:instr=" NUMPAGES   \* MERGEFORMAT ">
      <w:r w:rsidR="002214C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B6" w:rsidRDefault="004F05B6" w:rsidP="00FE3A85">
      <w:r>
        <w:separator/>
      </w:r>
    </w:p>
  </w:footnote>
  <w:footnote w:type="continuationSeparator" w:id="0">
    <w:p w:rsidR="004F05B6" w:rsidRDefault="004F05B6"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B6" w:rsidRPr="000E1367" w:rsidRDefault="004F05B6" w:rsidP="00861659">
    <w:pPr>
      <w:pStyle w:val="CommentText"/>
      <w:tabs>
        <w:tab w:val="left" w:pos="1242"/>
      </w:tabs>
      <w:ind w:right="252"/>
      <w:jc w:val="both"/>
      <w:rPr>
        <w:color w:val="000000"/>
        <w:sz w:val="24"/>
        <w:szCs w:val="24"/>
      </w:rPr>
    </w:pPr>
    <w:r w:rsidRPr="000E1367">
      <w:rPr>
        <w:sz w:val="24"/>
        <w:szCs w:val="24"/>
      </w:rPr>
      <w:t xml:space="preserve">RFP Title:  </w:t>
    </w:r>
    <w:r w:rsidRPr="000E1367">
      <w:rPr>
        <w:color w:val="000000"/>
        <w:sz w:val="24"/>
        <w:szCs w:val="24"/>
      </w:rPr>
      <w:t>Off-site Storage</w:t>
    </w:r>
  </w:p>
  <w:p w:rsidR="004F05B6" w:rsidRPr="000E1367" w:rsidRDefault="004F05B6" w:rsidP="00861659">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w:t>
    </w:r>
    <w:r w:rsidRPr="000E1367">
      <w:rPr>
        <w:color w:val="000000"/>
        <w:sz w:val="24"/>
        <w:szCs w:val="24"/>
      </w:rPr>
      <w:t>ITSO 11-13-LM</w:t>
    </w:r>
  </w:p>
  <w:p w:rsidR="004F05B6" w:rsidRDefault="004F05B6" w:rsidP="000D5DF5">
    <w:pPr>
      <w:tabs>
        <w:tab w:val="left" w:pos="162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307672"/>
    <w:rsid w:val="00005A6D"/>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214C0"/>
    <w:rsid w:val="00235CFB"/>
    <w:rsid w:val="00270E60"/>
    <w:rsid w:val="002969A0"/>
    <w:rsid w:val="002B34E4"/>
    <w:rsid w:val="002C336D"/>
    <w:rsid w:val="002D4186"/>
    <w:rsid w:val="002E6CFF"/>
    <w:rsid w:val="00307672"/>
    <w:rsid w:val="003277EE"/>
    <w:rsid w:val="0034217D"/>
    <w:rsid w:val="003631CE"/>
    <w:rsid w:val="003A05BD"/>
    <w:rsid w:val="003A29FC"/>
    <w:rsid w:val="00410195"/>
    <w:rsid w:val="00471CA0"/>
    <w:rsid w:val="00472189"/>
    <w:rsid w:val="004A3467"/>
    <w:rsid w:val="004C4568"/>
    <w:rsid w:val="004D26FC"/>
    <w:rsid w:val="004D7CA0"/>
    <w:rsid w:val="004F05B6"/>
    <w:rsid w:val="00502034"/>
    <w:rsid w:val="005257FA"/>
    <w:rsid w:val="0058038E"/>
    <w:rsid w:val="005A75FE"/>
    <w:rsid w:val="005B4CC2"/>
    <w:rsid w:val="005E4729"/>
    <w:rsid w:val="005F46B8"/>
    <w:rsid w:val="005F5B7A"/>
    <w:rsid w:val="00610157"/>
    <w:rsid w:val="00612D33"/>
    <w:rsid w:val="006212CD"/>
    <w:rsid w:val="00633DA3"/>
    <w:rsid w:val="0065558F"/>
    <w:rsid w:val="00693F86"/>
    <w:rsid w:val="006D02D3"/>
    <w:rsid w:val="0071240B"/>
    <w:rsid w:val="007166BF"/>
    <w:rsid w:val="007C19C2"/>
    <w:rsid w:val="007E78B1"/>
    <w:rsid w:val="007F6FB5"/>
    <w:rsid w:val="008011C2"/>
    <w:rsid w:val="00801D07"/>
    <w:rsid w:val="008036AF"/>
    <w:rsid w:val="00806692"/>
    <w:rsid w:val="008472CB"/>
    <w:rsid w:val="00861659"/>
    <w:rsid w:val="00875A22"/>
    <w:rsid w:val="0088206E"/>
    <w:rsid w:val="008A7439"/>
    <w:rsid w:val="008D5BD5"/>
    <w:rsid w:val="00952F80"/>
    <w:rsid w:val="009931F5"/>
    <w:rsid w:val="009D1BBC"/>
    <w:rsid w:val="009D21D7"/>
    <w:rsid w:val="00A1373D"/>
    <w:rsid w:val="00A24954"/>
    <w:rsid w:val="00A830A3"/>
    <w:rsid w:val="00A94588"/>
    <w:rsid w:val="00AA1F23"/>
    <w:rsid w:val="00AB12FC"/>
    <w:rsid w:val="00AB5D79"/>
    <w:rsid w:val="00AC6D76"/>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D11693"/>
    <w:rsid w:val="00D17C39"/>
    <w:rsid w:val="00D33AE9"/>
    <w:rsid w:val="00D53AA0"/>
    <w:rsid w:val="00D6443B"/>
    <w:rsid w:val="00D85E1E"/>
    <w:rsid w:val="00D945DA"/>
    <w:rsid w:val="00DA3495"/>
    <w:rsid w:val="00DA41A7"/>
    <w:rsid w:val="00DB287C"/>
    <w:rsid w:val="00DB76FD"/>
    <w:rsid w:val="00DC590A"/>
    <w:rsid w:val="00DD1F41"/>
    <w:rsid w:val="00E42720"/>
    <w:rsid w:val="00E5025A"/>
    <w:rsid w:val="00EE33CB"/>
    <w:rsid w:val="00EE4E4C"/>
    <w:rsid w:val="00F01285"/>
    <w:rsid w:val="00F071CE"/>
    <w:rsid w:val="00F559C8"/>
    <w:rsid w:val="00F65844"/>
    <w:rsid w:val="00F87025"/>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21E4B-B96A-42B2-B60E-559456F6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5</cp:revision>
  <cp:lastPrinted>2013-11-27T18:32:00Z</cp:lastPrinted>
  <dcterms:created xsi:type="dcterms:W3CDTF">2013-11-05T21:02:00Z</dcterms:created>
  <dcterms:modified xsi:type="dcterms:W3CDTF">2013-11-27T18:32:00Z</dcterms:modified>
</cp:coreProperties>
</file>