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651E8D">
            <w:pPr>
              <w:rPr>
                <w:rFonts w:ascii="Arial" w:hAnsi="Arial" w:cs="Arial"/>
              </w:rPr>
            </w:pPr>
          </w:p>
        </w:tc>
        <w:tc>
          <w:tcPr>
            <w:tcW w:w="8370" w:type="dxa"/>
            <w:tcBorders>
              <w:bottom w:val="single" w:sz="4" w:space="0" w:color="auto"/>
            </w:tcBorders>
            <w:tcMar>
              <w:left w:w="0" w:type="dxa"/>
              <w:right w:w="0" w:type="dxa"/>
            </w:tcMar>
            <w:vAlign w:val="bottom"/>
          </w:tcPr>
          <w:p w:rsidR="008B50E8" w:rsidRPr="008B50E8" w:rsidRDefault="008B50E8" w:rsidP="00651E8D">
            <w:pPr>
              <w:pStyle w:val="JCCReportCoverTitle"/>
              <w:rPr>
                <w:rFonts w:ascii="Arial" w:hAnsi="Arial" w:cs="Arial"/>
                <w:sz w:val="80"/>
                <w:szCs w:val="80"/>
              </w:rPr>
            </w:pPr>
            <w:r w:rsidRPr="008B50E8">
              <w:rPr>
                <w:rFonts w:ascii="Arial" w:hAnsi="Arial" w:cs="Arial"/>
                <w:color w:val="073873"/>
                <w:sz w:val="80"/>
                <w:szCs w:val="80"/>
              </w:rPr>
              <w:t>REQUEST FOR PROPOSALS</w:t>
            </w:r>
          </w:p>
          <w:p w:rsidR="008B50E8" w:rsidRPr="009E10B7" w:rsidRDefault="008B50E8" w:rsidP="00651E8D">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651E8D">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540897" w:rsidRDefault="00735393" w:rsidP="008B50E8">
            <w:pPr>
              <w:pStyle w:val="JCCReportCoverSubhead"/>
              <w:rPr>
                <w:rFonts w:ascii="Arial" w:hAnsi="Arial" w:cs="Arial"/>
                <w:b/>
                <w:i/>
                <w:color w:val="000000" w:themeColor="text1"/>
                <w:szCs w:val="28"/>
              </w:rPr>
            </w:pPr>
            <w:r w:rsidRPr="00540897">
              <w:rPr>
                <w:rFonts w:ascii="Arial" w:hAnsi="Arial" w:cs="Arial"/>
                <w:b/>
                <w:i/>
                <w:color w:val="000000" w:themeColor="text1"/>
                <w:szCs w:val="28"/>
              </w:rPr>
              <w:t>San Luis Obispo</w:t>
            </w:r>
          </w:p>
          <w:p w:rsidR="008B50E8" w:rsidRPr="00540897" w:rsidRDefault="008B50E8" w:rsidP="00651E8D">
            <w:pPr>
              <w:pStyle w:val="JCCReportCoverSubhead"/>
              <w:rPr>
                <w:rFonts w:ascii="Arial" w:hAnsi="Arial" w:cs="Arial"/>
                <w:b/>
                <w:color w:val="000000" w:themeColor="text1"/>
                <w:szCs w:val="28"/>
              </w:rPr>
            </w:pPr>
          </w:p>
          <w:p w:rsidR="003D4237" w:rsidRPr="00540897" w:rsidRDefault="008B50E8" w:rsidP="00651E8D">
            <w:pPr>
              <w:pStyle w:val="JCCReportCoverSubhead"/>
              <w:rPr>
                <w:rFonts w:ascii="Arial" w:hAnsi="Arial" w:cs="Arial"/>
                <w:i/>
                <w:caps w:val="0"/>
                <w:color w:val="000000" w:themeColor="text1"/>
                <w:szCs w:val="28"/>
              </w:rPr>
            </w:pPr>
            <w:r w:rsidRPr="00540897">
              <w:rPr>
                <w:rFonts w:ascii="Arial" w:hAnsi="Arial" w:cs="Arial"/>
                <w:b/>
                <w:color w:val="000000" w:themeColor="text1"/>
                <w:szCs w:val="28"/>
              </w:rPr>
              <w:t>Regarding:</w:t>
            </w:r>
            <w:r w:rsidRPr="00540897">
              <w:rPr>
                <w:rFonts w:ascii="Arial" w:hAnsi="Arial" w:cs="Arial"/>
                <w:b/>
                <w:color w:val="000000" w:themeColor="text1"/>
                <w:szCs w:val="28"/>
              </w:rPr>
              <w:br/>
            </w:r>
            <w:r w:rsidR="003D4237" w:rsidRPr="00540897">
              <w:rPr>
                <w:i/>
                <w:color w:val="000000" w:themeColor="text1"/>
                <w:sz w:val="22"/>
                <w:szCs w:val="22"/>
              </w:rPr>
              <w:t>San Luis Obispo Case Management System Replacement</w:t>
            </w:r>
            <w:r w:rsidR="003D4237" w:rsidRPr="00540897">
              <w:rPr>
                <w:rFonts w:ascii="Arial" w:hAnsi="Arial" w:cs="Arial"/>
                <w:i/>
                <w:caps w:val="0"/>
                <w:color w:val="000000" w:themeColor="text1"/>
                <w:szCs w:val="28"/>
              </w:rPr>
              <w:t xml:space="preserve"> </w:t>
            </w:r>
          </w:p>
          <w:p w:rsidR="008B50E8" w:rsidRPr="00540897" w:rsidRDefault="003D4237" w:rsidP="00651E8D">
            <w:pPr>
              <w:pStyle w:val="JCCReportCoverSubhead"/>
              <w:rPr>
                <w:rFonts w:ascii="Arial" w:hAnsi="Arial" w:cs="Arial"/>
                <w:color w:val="000000" w:themeColor="text1"/>
                <w:szCs w:val="28"/>
              </w:rPr>
            </w:pPr>
            <w:r w:rsidRPr="00540897">
              <w:rPr>
                <w:i/>
                <w:color w:val="000000" w:themeColor="text1"/>
                <w:sz w:val="22"/>
                <w:szCs w:val="22"/>
              </w:rPr>
              <w:t>ISD – 06192012 - SLO</w:t>
            </w: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540897">
              <w:rPr>
                <w:rFonts w:ascii="Arial" w:hAnsi="Arial" w:cs="Arial"/>
                <w:b/>
                <w:bCs/>
                <w:smallCaps/>
                <w:color w:val="000000" w:themeColor="text1"/>
                <w:sz w:val="28"/>
                <w:szCs w:val="20"/>
              </w:rPr>
              <w:t xml:space="preserve">PROPOSALS DUE:  </w:t>
            </w:r>
          </w:p>
          <w:p w:rsidR="008B50E8" w:rsidRPr="00540897" w:rsidRDefault="00226FDB"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540897">
              <w:rPr>
                <w:rFonts w:ascii="Arial" w:hAnsi="Arial" w:cs="Arial"/>
                <w:color w:val="000000" w:themeColor="text1"/>
                <w:sz w:val="28"/>
                <w:szCs w:val="28"/>
              </w:rPr>
              <w:t>7/18/2012</w:t>
            </w:r>
            <w:r w:rsidRPr="00540897">
              <w:rPr>
                <w:rFonts w:ascii="Arial" w:hAnsi="Arial" w:cs="Arial"/>
                <w:i/>
                <w:color w:val="000000" w:themeColor="text1"/>
                <w:sz w:val="28"/>
                <w:szCs w:val="28"/>
              </w:rPr>
              <w:t xml:space="preserve"> </w:t>
            </w:r>
            <w:r w:rsidRPr="00540897">
              <w:rPr>
                <w:rFonts w:ascii="Arial" w:hAnsi="Arial" w:cs="Arial"/>
                <w:i/>
                <w:caps/>
                <w:color w:val="000000" w:themeColor="text1"/>
                <w:sz w:val="22"/>
                <w:szCs w:val="28"/>
              </w:rPr>
              <w:t xml:space="preserve"> </w:t>
            </w:r>
            <w:r w:rsidR="008B50E8" w:rsidRPr="00540897">
              <w:rPr>
                <w:rFonts w:ascii="Arial" w:hAnsi="Arial" w:cs="Arial"/>
                <w:bCs/>
                <w:smallCaps/>
                <w:color w:val="000000" w:themeColor="text1"/>
                <w:sz w:val="28"/>
                <w:szCs w:val="28"/>
              </w:rPr>
              <w:t xml:space="preserve">no later than </w:t>
            </w:r>
            <w:r w:rsidRPr="00540897">
              <w:rPr>
                <w:rFonts w:ascii="Arial" w:hAnsi="Arial" w:cs="Arial"/>
                <w:color w:val="000000" w:themeColor="text1"/>
                <w:sz w:val="28"/>
                <w:szCs w:val="28"/>
              </w:rPr>
              <w:t>4:30</w:t>
            </w:r>
            <w:r w:rsidRPr="00540897">
              <w:rPr>
                <w:rFonts w:ascii="Arial" w:hAnsi="Arial" w:cs="Arial"/>
                <w:i/>
                <w:color w:val="000000" w:themeColor="text1"/>
                <w:sz w:val="28"/>
                <w:szCs w:val="28"/>
              </w:rPr>
              <w:t xml:space="preserve"> </w:t>
            </w:r>
            <w:r w:rsidR="008B50E8" w:rsidRPr="00540897">
              <w:rPr>
                <w:rFonts w:ascii="Arial" w:hAnsi="Arial" w:cs="Arial"/>
                <w:bCs/>
                <w:smallCaps/>
                <w:color w:val="000000" w:themeColor="text1"/>
                <w:sz w:val="28"/>
                <w:szCs w:val="20"/>
              </w:rPr>
              <w:t xml:space="preserve">p.m. Pacific </w:t>
            </w:r>
            <w:r w:rsidR="00C57054" w:rsidRPr="00540897">
              <w:rPr>
                <w:rFonts w:ascii="Arial" w:hAnsi="Arial" w:cs="Arial"/>
                <w:bCs/>
                <w:smallCaps/>
                <w:color w:val="000000" w:themeColor="text1"/>
                <w:sz w:val="28"/>
                <w:szCs w:val="20"/>
              </w:rPr>
              <w:t>T</w:t>
            </w:r>
            <w:r w:rsidR="008B50E8" w:rsidRPr="00540897">
              <w:rPr>
                <w:rFonts w:ascii="Arial" w:hAnsi="Arial" w:cs="Arial"/>
                <w:bCs/>
                <w:smallCaps/>
                <w:color w:val="000000" w:themeColor="text1"/>
                <w:sz w:val="28"/>
                <w:szCs w:val="20"/>
              </w:rPr>
              <w:t xml:space="preserve">ime </w:t>
            </w:r>
          </w:p>
          <w:p w:rsidR="008B50E8" w:rsidRPr="009E10B7" w:rsidRDefault="008B50E8" w:rsidP="00651E8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E50EE" w:rsidRDefault="00CE50EE" w:rsidP="00C37FF7">
      <w:pPr>
        <w:keepNext/>
        <w:ind w:left="720" w:hanging="720"/>
        <w:rPr>
          <w:b/>
          <w:bCs/>
          <w:sz w:val="26"/>
          <w:szCs w:val="26"/>
        </w:rPr>
      </w:pPr>
    </w:p>
    <w:p w:rsidR="00CE50EE" w:rsidRDefault="00CE50EE" w:rsidP="00C37FF7">
      <w:pPr>
        <w:keepNext/>
        <w:ind w:left="720" w:hanging="720"/>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443EC5" w:rsidRPr="00443EC5" w:rsidRDefault="00651E8D" w:rsidP="004A2751">
      <w:pPr>
        <w:pStyle w:val="ListParagraph"/>
        <w:keepNext/>
        <w:numPr>
          <w:ilvl w:val="1"/>
          <w:numId w:val="13"/>
        </w:numPr>
        <w:ind w:left="720"/>
        <w:rPr>
          <w:color w:val="000000" w:themeColor="text1"/>
        </w:rPr>
      </w:pPr>
      <w:r w:rsidRPr="00F56D6F">
        <w:rPr>
          <w:b/>
          <w:u w:val="single"/>
        </w:rPr>
        <w:t>Judicial Council of California</w:t>
      </w:r>
    </w:p>
    <w:p w:rsidR="00857C9A" w:rsidRDefault="00651E8D" w:rsidP="00857C9A">
      <w:pPr>
        <w:pStyle w:val="ListParagraph"/>
        <w:keepNext/>
        <w:rPr>
          <w:color w:val="000000" w:themeColor="text1"/>
        </w:rPr>
      </w:pPr>
      <w:r>
        <w:t xml:space="preserve">The Judicial Council of California, </w:t>
      </w:r>
      <w:r w:rsidR="00DA3C5C">
        <w:t xml:space="preserve">under the leadership of the </w:t>
      </w:r>
      <w:r>
        <w:t xml:space="preserve">Chief Justice, is the policymaking </w:t>
      </w:r>
      <w:r w:rsidR="00DA3C5C">
        <w:t xml:space="preserve">body </w:t>
      </w:r>
      <w:r>
        <w:t>of California</w:t>
      </w:r>
      <w:r w:rsidR="00DA3C5C">
        <w:t>’s</w:t>
      </w:r>
      <w:r>
        <w:t xml:space="preserve"> judicial </w:t>
      </w:r>
      <w:r w:rsidR="00DA3C5C">
        <w:t>branch</w:t>
      </w:r>
      <w:r>
        <w:t xml:space="preserve">.  </w:t>
      </w:r>
      <w:r w:rsidR="004A2751">
        <w:t>In accordance with</w:t>
      </w:r>
      <w:r>
        <w:t xml:space="preserve"> the California </w:t>
      </w:r>
      <w:r w:rsidR="004A2751">
        <w:t>Constitution, the council is responsible for ensuring the consistent, independent, impartial, and accessible administration of justice.</w:t>
      </w:r>
      <w:r w:rsidR="00857C9A" w:rsidRPr="00857C9A">
        <w:rPr>
          <w:color w:val="000000" w:themeColor="text1"/>
        </w:rPr>
        <w:t xml:space="preserve"> </w:t>
      </w:r>
      <w:r>
        <w:t>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w:t>
      </w:r>
      <w:r w:rsidR="00CA24E0">
        <w:t xml:space="preserve"> </w:t>
      </w:r>
      <w:r w:rsidR="00CA24E0">
        <w:rPr>
          <w:color w:val="000000" w:themeColor="text1"/>
        </w:rPr>
        <w:t>The c</w:t>
      </w:r>
      <w:r w:rsidR="004A2751" w:rsidRPr="00111A71">
        <w:rPr>
          <w:color w:val="000000" w:themeColor="text1"/>
        </w:rPr>
        <w:t>ouncil performs most of its work through advis</w:t>
      </w:r>
      <w:r w:rsidR="00CA24E0">
        <w:rPr>
          <w:color w:val="000000" w:themeColor="text1"/>
        </w:rPr>
        <w:t>ory committees and task forces.</w:t>
      </w:r>
    </w:p>
    <w:p w:rsidR="00C060B5" w:rsidRDefault="00C060B5">
      <w:pPr>
        <w:keepNext/>
      </w:pPr>
    </w:p>
    <w:p w:rsidR="00443EC5" w:rsidRPr="00443EC5" w:rsidRDefault="00857C9A" w:rsidP="007A4E13">
      <w:pPr>
        <w:pStyle w:val="ListParagraph"/>
        <w:keepNext/>
        <w:numPr>
          <w:ilvl w:val="1"/>
          <w:numId w:val="13"/>
        </w:numPr>
        <w:ind w:left="720"/>
      </w:pPr>
      <w:r w:rsidRPr="00857C9A">
        <w:rPr>
          <w:b/>
          <w:u w:val="single"/>
        </w:rPr>
        <w:t>Administrative Office of the Courts</w:t>
      </w:r>
      <w:r w:rsidR="003E6086" w:rsidRPr="004A2751">
        <w:rPr>
          <w:b/>
          <w:u w:val="single"/>
        </w:rPr>
        <w:t xml:space="preserve"> (AOC)</w:t>
      </w:r>
    </w:p>
    <w:p w:rsidR="00857C9A" w:rsidRDefault="003E6086" w:rsidP="00857C9A">
      <w:pPr>
        <w:pStyle w:val="ListParagraph"/>
        <w:keepNext/>
        <w:rPr>
          <w:color w:val="000000" w:themeColor="text1"/>
        </w:rPr>
      </w:pPr>
      <w:r>
        <w:t xml:space="preserve">The AOC is the staff agency </w:t>
      </w:r>
      <w:r w:rsidR="004A2751">
        <w:t>to</w:t>
      </w:r>
      <w:r>
        <w:t xml:space="preserve"> the </w:t>
      </w:r>
      <w:r w:rsidR="004A2751">
        <w:t>Judicial Council and assists both the c</w:t>
      </w:r>
      <w:r>
        <w:t>ouncil and its chair in performing their duties.</w:t>
      </w:r>
      <w:r w:rsidR="007A4E13">
        <w:t xml:space="preserve"> The </w:t>
      </w:r>
      <w:r w:rsidR="00857C9A" w:rsidRPr="00857C9A">
        <w:t>Information Services Division (ISD)</w:t>
      </w:r>
      <w:r w:rsidR="00857C9A" w:rsidRPr="00857C9A">
        <w:rPr>
          <w:color w:val="000000" w:themeColor="text1"/>
        </w:rPr>
        <w:t xml:space="preserve"> </w:t>
      </w:r>
      <w:r w:rsidR="00651E8D" w:rsidRPr="0066422F">
        <w:rPr>
          <w:color w:val="000000" w:themeColor="text1"/>
        </w:rPr>
        <w:t xml:space="preserve">is responsible for the development, acquisition, implementation, and support of automated systems in the appellate courts and the AOC. Over the past several years, the </w:t>
      </w:r>
      <w:r w:rsidRPr="007A4E13">
        <w:rPr>
          <w:color w:val="000000" w:themeColor="text1"/>
        </w:rPr>
        <w:t>AOC</w:t>
      </w:r>
      <w:r w:rsidR="00651E8D" w:rsidRPr="0066422F">
        <w:rPr>
          <w:color w:val="000000" w:themeColor="text1"/>
        </w:rPr>
        <w:t xml:space="preserve"> scope of responsibility has broadened to include coordination of technological developments in some of the trial courts.</w:t>
      </w:r>
    </w:p>
    <w:p w:rsidR="0053549A" w:rsidRDefault="0053549A" w:rsidP="00857C9A">
      <w:pPr>
        <w:pStyle w:val="ListParagraph"/>
        <w:keepNext/>
        <w:rPr>
          <w:color w:val="000000" w:themeColor="text1"/>
        </w:rPr>
      </w:pPr>
    </w:p>
    <w:p w:rsidR="0053549A" w:rsidRDefault="0053549A" w:rsidP="0053549A">
      <w:pPr>
        <w:pStyle w:val="ListParagraph"/>
        <w:keepNext/>
        <w:numPr>
          <w:ilvl w:val="1"/>
          <w:numId w:val="13"/>
        </w:numPr>
        <w:ind w:left="720"/>
        <w:rPr>
          <w:color w:val="000000" w:themeColor="text1"/>
        </w:rPr>
      </w:pPr>
      <w:r w:rsidRPr="00F56D6F">
        <w:rPr>
          <w:b/>
          <w:color w:val="000000" w:themeColor="text1"/>
          <w:u w:val="single"/>
        </w:rPr>
        <w:t>CCSM V4 Termination</w:t>
      </w:r>
    </w:p>
    <w:p w:rsidR="0053549A" w:rsidRPr="0053549A" w:rsidRDefault="0053549A" w:rsidP="00857C9A">
      <w:pPr>
        <w:pStyle w:val="ListParagraph"/>
        <w:keepNext/>
        <w:rPr>
          <w:color w:val="000000" w:themeColor="text1"/>
        </w:rPr>
      </w:pPr>
      <w:r w:rsidRPr="00F56D6F">
        <w:rPr>
          <w:color w:val="000000" w:themeColor="text1"/>
        </w:rPr>
        <w:t>The California Court Case Management System (CCMS) was a statewide initiative to develop and deploy a unified case management system for all 58 superior courts</w:t>
      </w:r>
      <w:r>
        <w:rPr>
          <w:color w:val="000000" w:themeColor="text1"/>
        </w:rPr>
        <w:t xml:space="preserve"> within the state</w:t>
      </w:r>
      <w:r w:rsidRPr="00F56D6F">
        <w:rPr>
          <w:color w:val="000000" w:themeColor="text1"/>
        </w:rPr>
        <w:t>. CCMS was designed to reduce operating costs, increase efficiency, and give Californians an unprecedented level of access to their courts. During the March 27</w:t>
      </w:r>
      <w:r>
        <w:rPr>
          <w:color w:val="000000" w:themeColor="text1"/>
        </w:rPr>
        <w:t>, 2012,</w:t>
      </w:r>
      <w:r w:rsidRPr="00F56D6F">
        <w:rPr>
          <w:color w:val="000000" w:themeColor="text1"/>
        </w:rPr>
        <w:t xml:space="preserve"> Judicial Council business meeting, the council unanimously voted to terminate CCMS V4</w:t>
      </w:r>
      <w:r w:rsidR="00A43EE0">
        <w:rPr>
          <w:color w:val="000000" w:themeColor="text1"/>
        </w:rPr>
        <w:t xml:space="preserve"> deployment</w:t>
      </w:r>
      <w:r w:rsidRPr="00F56D6F">
        <w:rPr>
          <w:color w:val="000000" w:themeColor="text1"/>
        </w:rPr>
        <w:t xml:space="preserve"> due to the current budgetary constraints. </w:t>
      </w:r>
      <w:r>
        <w:t xml:space="preserve">San Luis Obispo </w:t>
      </w:r>
      <w:r w:rsidR="00A012B1">
        <w:t xml:space="preserve">Superior Court </w:t>
      </w:r>
      <w:r>
        <w:t xml:space="preserve">was </w:t>
      </w:r>
      <w:r w:rsidR="00A43EE0">
        <w:t>identified as</w:t>
      </w:r>
      <w:r>
        <w:t xml:space="preserve"> an early adopt</w:t>
      </w:r>
      <w:r w:rsidR="00A012B1">
        <w:t>er court for the CCMS product a</w:t>
      </w:r>
      <w:r>
        <w:t>n</w:t>
      </w:r>
      <w:r w:rsidR="00A012B1">
        <w:t>d</w:t>
      </w:r>
      <w:r w:rsidR="0013260F">
        <w:t xml:space="preserve"> in</w:t>
      </w:r>
      <w:r>
        <w:t xml:space="preserve"> the wake of the Judicial Council decision to termin</w:t>
      </w:r>
      <w:r w:rsidR="00A012B1">
        <w:t>ate the project, replacing the C</w:t>
      </w:r>
      <w:r>
        <w:t>ourt’s failing CMS has become a top priority.</w:t>
      </w:r>
    </w:p>
    <w:p w:rsidR="00857C9A" w:rsidRPr="00857C9A" w:rsidRDefault="00857C9A" w:rsidP="00857C9A">
      <w:pPr>
        <w:pStyle w:val="ListParagraph"/>
        <w:keepNext/>
      </w:pPr>
    </w:p>
    <w:p w:rsidR="00443EC5" w:rsidRPr="00443EC5" w:rsidRDefault="00857C9A" w:rsidP="007A4E13">
      <w:pPr>
        <w:pStyle w:val="ListParagraph"/>
        <w:keepNext/>
        <w:numPr>
          <w:ilvl w:val="1"/>
          <w:numId w:val="13"/>
        </w:numPr>
        <w:ind w:left="720"/>
      </w:pPr>
      <w:r w:rsidRPr="00857C9A">
        <w:rPr>
          <w:b/>
          <w:u w:val="single"/>
        </w:rPr>
        <w:t>San Luis Obispo Superior Court</w:t>
      </w:r>
      <w:r w:rsidRPr="00857C9A">
        <w:rPr>
          <w:color w:val="000000" w:themeColor="text1"/>
          <w:u w:val="single"/>
        </w:rPr>
        <w:t xml:space="preserve"> </w:t>
      </w:r>
      <w:r w:rsidR="00C24EC3">
        <w:rPr>
          <w:b/>
          <w:u w:val="single"/>
        </w:rPr>
        <w:t>and the AOC</w:t>
      </w:r>
    </w:p>
    <w:p w:rsidR="007064DF" w:rsidRDefault="00651E8D" w:rsidP="00515EBE">
      <w:pPr>
        <w:pStyle w:val="ListParagraph"/>
        <w:keepNext/>
      </w:pPr>
      <w:r w:rsidRPr="0066422F">
        <w:rPr>
          <w:color w:val="000000" w:themeColor="text1"/>
        </w:rPr>
        <w:t xml:space="preserve">The </w:t>
      </w:r>
      <w:r>
        <w:rPr>
          <w:color w:val="000000" w:themeColor="text1"/>
        </w:rPr>
        <w:t>AOC</w:t>
      </w:r>
      <w:r w:rsidR="00C24EC3">
        <w:rPr>
          <w:color w:val="000000" w:themeColor="text1"/>
        </w:rPr>
        <w:t>,</w:t>
      </w:r>
      <w:r>
        <w:rPr>
          <w:color w:val="000000" w:themeColor="text1"/>
        </w:rPr>
        <w:t xml:space="preserve"> on behalf of the San Luis Obispo Superior Court</w:t>
      </w:r>
      <w:r w:rsidR="00C24EC3">
        <w:rPr>
          <w:color w:val="000000" w:themeColor="text1"/>
        </w:rPr>
        <w:t>,</w:t>
      </w:r>
      <w:r>
        <w:rPr>
          <w:color w:val="000000" w:themeColor="text1"/>
        </w:rPr>
        <w:t xml:space="preserve"> </w:t>
      </w:r>
      <w:r w:rsidRPr="0066422F">
        <w:rPr>
          <w:color w:val="000000" w:themeColor="text1"/>
        </w:rPr>
        <w:t xml:space="preserve">is seeking vendors to provide information technology products and services for a replacement Case Management System (CMS) for the San Luis Obispo Superior Court of California. </w:t>
      </w:r>
      <w:r w:rsidR="003E6086" w:rsidRPr="007A4E13">
        <w:rPr>
          <w:color w:val="000000" w:themeColor="text1"/>
        </w:rPr>
        <w:t>The</w:t>
      </w:r>
      <w:r w:rsidRPr="007A4E13">
        <w:rPr>
          <w:color w:val="000000" w:themeColor="text1"/>
        </w:rPr>
        <w:t xml:space="preserve"> </w:t>
      </w:r>
      <w:r w:rsidR="003E6086" w:rsidRPr="007A4E13">
        <w:rPr>
          <w:color w:val="000000" w:themeColor="text1"/>
        </w:rPr>
        <w:t>a</w:t>
      </w:r>
      <w:r>
        <w:rPr>
          <w:color w:val="000000" w:themeColor="text1"/>
        </w:rPr>
        <w:t xml:space="preserve">greements will be between the selected vendor and the San Luis Obispo Superior Court. </w:t>
      </w:r>
      <w:r w:rsidR="00933E32">
        <w:rPr>
          <w:color w:val="000000" w:themeColor="text1"/>
        </w:rPr>
        <w:t>The product</w:t>
      </w:r>
      <w:r w:rsidRPr="0066422F">
        <w:rPr>
          <w:color w:val="000000" w:themeColor="text1"/>
        </w:rPr>
        <w:t xml:space="preserve"> </w:t>
      </w:r>
      <w:r w:rsidR="00933E32">
        <w:rPr>
          <w:color w:val="000000" w:themeColor="text1"/>
        </w:rPr>
        <w:t>being sought is a</w:t>
      </w:r>
      <w:r w:rsidRPr="0066422F">
        <w:rPr>
          <w:color w:val="000000" w:themeColor="text1"/>
        </w:rPr>
        <w:t xml:space="preserve"> replacement CMS application</w:t>
      </w:r>
      <w:r w:rsidR="00792144">
        <w:rPr>
          <w:color w:val="000000" w:themeColor="text1"/>
        </w:rPr>
        <w:t xml:space="preserve"> with a Document Management System (DMS) solution</w:t>
      </w:r>
      <w:r w:rsidR="00933E32">
        <w:rPr>
          <w:color w:val="000000" w:themeColor="text1"/>
        </w:rPr>
        <w:t xml:space="preserve">. The </w:t>
      </w:r>
      <w:r w:rsidR="00933E32" w:rsidRPr="0066422F">
        <w:rPr>
          <w:color w:val="000000" w:themeColor="text1"/>
        </w:rPr>
        <w:t>services</w:t>
      </w:r>
      <w:r w:rsidR="00933E32">
        <w:rPr>
          <w:color w:val="000000" w:themeColor="text1"/>
        </w:rPr>
        <w:t xml:space="preserve"> being sought include</w:t>
      </w:r>
      <w:r w:rsidR="00792144">
        <w:rPr>
          <w:color w:val="000000" w:themeColor="text1"/>
        </w:rPr>
        <w:t xml:space="preserve"> vendor</w:t>
      </w:r>
      <w:r w:rsidR="0073034B">
        <w:rPr>
          <w:color w:val="000000" w:themeColor="text1"/>
        </w:rPr>
        <w:t>-</w:t>
      </w:r>
      <w:r w:rsidR="00792144">
        <w:rPr>
          <w:color w:val="000000" w:themeColor="text1"/>
        </w:rPr>
        <w:t>provided requirements for the infrastructure necessary to implement the CMS/DMS solution</w:t>
      </w:r>
      <w:r w:rsidR="000414E2">
        <w:rPr>
          <w:color w:val="000000" w:themeColor="text1"/>
        </w:rPr>
        <w:t>,</w:t>
      </w:r>
      <w:r w:rsidRPr="0066422F">
        <w:rPr>
          <w:color w:val="000000" w:themeColor="text1"/>
        </w:rPr>
        <w:t xml:space="preserve"> implementation services</w:t>
      </w:r>
      <w:r w:rsidR="000414E2">
        <w:rPr>
          <w:color w:val="000000" w:themeColor="text1"/>
        </w:rPr>
        <w:t>,</w:t>
      </w:r>
      <w:r w:rsidR="00933E32">
        <w:rPr>
          <w:color w:val="000000" w:themeColor="text1"/>
        </w:rPr>
        <w:t xml:space="preserve"> </w:t>
      </w:r>
      <w:r w:rsidRPr="0066422F">
        <w:rPr>
          <w:color w:val="000000" w:themeColor="text1"/>
        </w:rPr>
        <w:t>training</w:t>
      </w:r>
      <w:r w:rsidR="000414E2">
        <w:rPr>
          <w:color w:val="000000" w:themeColor="text1"/>
        </w:rPr>
        <w:t>,</w:t>
      </w:r>
      <w:r w:rsidRPr="0066422F">
        <w:rPr>
          <w:color w:val="000000" w:themeColor="text1"/>
        </w:rPr>
        <w:t xml:space="preserve"> a</w:t>
      </w:r>
      <w:r w:rsidR="0073034B">
        <w:rPr>
          <w:color w:val="000000" w:themeColor="text1"/>
        </w:rPr>
        <w:t>nd</w:t>
      </w:r>
      <w:r w:rsidRPr="0066422F">
        <w:rPr>
          <w:color w:val="000000" w:themeColor="text1"/>
        </w:rPr>
        <w:t xml:space="preserve"> a network and desktop assessment with recommendations</w:t>
      </w:r>
      <w:r w:rsidR="005C69D5">
        <w:rPr>
          <w:color w:val="000000" w:themeColor="text1"/>
        </w:rPr>
        <w:t>,</w:t>
      </w:r>
      <w:r w:rsidRPr="0066422F">
        <w:rPr>
          <w:color w:val="000000" w:themeColor="text1"/>
        </w:rPr>
        <w:t xml:space="preserve"> in order to ensure that an adequate desktop and network infrastructure is in place to support the CMS</w:t>
      </w:r>
      <w:r w:rsidR="00792144">
        <w:rPr>
          <w:color w:val="000000" w:themeColor="text1"/>
        </w:rPr>
        <w:t>/DMS</w:t>
      </w:r>
      <w:r w:rsidRPr="0066422F">
        <w:rPr>
          <w:color w:val="000000" w:themeColor="text1"/>
        </w:rPr>
        <w:t xml:space="preserve"> solution. This network </w:t>
      </w:r>
      <w:r>
        <w:rPr>
          <w:color w:val="000000" w:themeColor="text1"/>
        </w:rPr>
        <w:t>and CMS</w:t>
      </w:r>
      <w:r w:rsidR="00792144">
        <w:rPr>
          <w:color w:val="000000" w:themeColor="text1"/>
        </w:rPr>
        <w:t>/DMS</w:t>
      </w:r>
      <w:r>
        <w:rPr>
          <w:color w:val="000000" w:themeColor="text1"/>
        </w:rPr>
        <w:t xml:space="preserve"> infrastructure </w:t>
      </w:r>
      <w:r w:rsidRPr="0066422F">
        <w:rPr>
          <w:color w:val="000000" w:themeColor="text1"/>
        </w:rPr>
        <w:t xml:space="preserve">design should include </w:t>
      </w:r>
      <w:r w:rsidR="00792144">
        <w:rPr>
          <w:color w:val="000000" w:themeColor="text1"/>
        </w:rPr>
        <w:t xml:space="preserve">required </w:t>
      </w:r>
      <w:r>
        <w:rPr>
          <w:color w:val="000000" w:themeColor="text1"/>
        </w:rPr>
        <w:t>CMS</w:t>
      </w:r>
      <w:r w:rsidR="00792144">
        <w:rPr>
          <w:color w:val="000000" w:themeColor="text1"/>
        </w:rPr>
        <w:t>/DMS</w:t>
      </w:r>
      <w:r w:rsidRPr="0066422F">
        <w:rPr>
          <w:color w:val="000000" w:themeColor="text1"/>
        </w:rPr>
        <w:t xml:space="preserve"> servers, network servers, and a </w:t>
      </w:r>
      <w:r w:rsidRPr="0066422F">
        <w:rPr>
          <w:color w:val="000000" w:themeColor="text1"/>
        </w:rPr>
        <w:lastRenderedPageBreak/>
        <w:t>standard desktop environment</w:t>
      </w:r>
      <w:r w:rsidR="0073034B">
        <w:rPr>
          <w:color w:val="000000" w:themeColor="text1"/>
        </w:rPr>
        <w:t xml:space="preserve">, </w:t>
      </w:r>
      <w:r w:rsidR="00792144">
        <w:rPr>
          <w:color w:val="000000" w:themeColor="text1"/>
        </w:rPr>
        <w:t>in order to provide efficient service to the court, justice partners and the public</w:t>
      </w:r>
      <w:r w:rsidRPr="0066422F">
        <w:rPr>
          <w:color w:val="000000" w:themeColor="text1"/>
        </w:rPr>
        <w:t xml:space="preserve">. These products and services will also </w:t>
      </w:r>
      <w:r w:rsidR="00792144">
        <w:rPr>
          <w:color w:val="000000" w:themeColor="text1"/>
        </w:rPr>
        <w:t xml:space="preserve">require </w:t>
      </w:r>
      <w:r>
        <w:rPr>
          <w:color w:val="000000" w:themeColor="text1"/>
        </w:rPr>
        <w:t xml:space="preserve">ongoing </w:t>
      </w:r>
      <w:r w:rsidRPr="0066422F">
        <w:rPr>
          <w:color w:val="000000" w:themeColor="text1"/>
        </w:rPr>
        <w:t xml:space="preserve">application </w:t>
      </w:r>
      <w:r>
        <w:rPr>
          <w:color w:val="000000" w:themeColor="text1"/>
        </w:rPr>
        <w:t xml:space="preserve">maintenance and </w:t>
      </w:r>
      <w:r w:rsidRPr="0066422F">
        <w:rPr>
          <w:color w:val="000000" w:themeColor="text1"/>
        </w:rPr>
        <w:t xml:space="preserve">support </w:t>
      </w:r>
      <w:r>
        <w:rPr>
          <w:color w:val="000000" w:themeColor="text1"/>
        </w:rPr>
        <w:t xml:space="preserve">pursuant to the software </w:t>
      </w:r>
      <w:r w:rsidRPr="0066422F">
        <w:rPr>
          <w:color w:val="000000" w:themeColor="text1"/>
        </w:rPr>
        <w:t>servi</w:t>
      </w:r>
      <w:r>
        <w:rPr>
          <w:color w:val="000000" w:themeColor="text1"/>
        </w:rPr>
        <w:t>ce license</w:t>
      </w:r>
      <w:r w:rsidRPr="0066422F">
        <w:rPr>
          <w:color w:val="000000" w:themeColor="text1"/>
        </w:rPr>
        <w:t xml:space="preserve"> </w:t>
      </w:r>
      <w:r>
        <w:rPr>
          <w:color w:val="000000" w:themeColor="text1"/>
        </w:rPr>
        <w:t xml:space="preserve">and maintenance </w:t>
      </w:r>
      <w:r w:rsidRPr="0066422F">
        <w:rPr>
          <w:color w:val="000000" w:themeColor="text1"/>
        </w:rPr>
        <w:t>agreements. The</w:t>
      </w:r>
      <w:r>
        <w:rPr>
          <w:color w:val="000000" w:themeColor="text1"/>
        </w:rPr>
        <w:t xml:space="preserve"> combination of</w:t>
      </w:r>
      <w:r w:rsidRPr="0066422F">
        <w:rPr>
          <w:color w:val="000000" w:themeColor="text1"/>
        </w:rPr>
        <w:t xml:space="preserve"> products and services will be utilized to deliver </w:t>
      </w:r>
      <w:r>
        <w:rPr>
          <w:color w:val="000000" w:themeColor="text1"/>
        </w:rPr>
        <w:t>case management services</w:t>
      </w:r>
      <w:r w:rsidRPr="0066422F">
        <w:rPr>
          <w:color w:val="000000" w:themeColor="text1"/>
        </w:rPr>
        <w:t xml:space="preserve"> to court managers</w:t>
      </w:r>
      <w:r w:rsidR="000414E2">
        <w:rPr>
          <w:color w:val="000000" w:themeColor="text1"/>
        </w:rPr>
        <w:t>,</w:t>
      </w:r>
      <w:r w:rsidRPr="0066422F">
        <w:rPr>
          <w:color w:val="000000" w:themeColor="text1"/>
        </w:rPr>
        <w:t xml:space="preserve"> operations staff</w:t>
      </w:r>
      <w:r w:rsidR="000414E2">
        <w:rPr>
          <w:color w:val="000000" w:themeColor="text1"/>
        </w:rPr>
        <w:t>,</w:t>
      </w:r>
      <w:r w:rsidRPr="0066422F">
        <w:rPr>
          <w:color w:val="000000" w:themeColor="text1"/>
        </w:rPr>
        <w:t xml:space="preserve"> courtroom staff</w:t>
      </w:r>
      <w:r w:rsidR="000414E2">
        <w:rPr>
          <w:color w:val="000000" w:themeColor="text1"/>
        </w:rPr>
        <w:t>,</w:t>
      </w:r>
      <w:r w:rsidRPr="0066422F">
        <w:rPr>
          <w:color w:val="000000" w:themeColor="text1"/>
        </w:rPr>
        <w:t xml:space="preserve"> judicial officers</w:t>
      </w:r>
      <w:r w:rsidR="000414E2">
        <w:rPr>
          <w:color w:val="000000" w:themeColor="text1"/>
        </w:rPr>
        <w:t>,</w:t>
      </w:r>
      <w:r w:rsidR="0053549A">
        <w:rPr>
          <w:color w:val="000000" w:themeColor="text1"/>
        </w:rPr>
        <w:t xml:space="preserve"> non</w:t>
      </w:r>
      <w:r w:rsidR="0039627B">
        <w:rPr>
          <w:color w:val="000000" w:themeColor="text1"/>
        </w:rPr>
        <w:t>-</w:t>
      </w:r>
      <w:r w:rsidR="0053549A">
        <w:rPr>
          <w:color w:val="000000" w:themeColor="text1"/>
        </w:rPr>
        <w:t>judicial staff</w:t>
      </w:r>
      <w:r w:rsidR="000414E2">
        <w:rPr>
          <w:color w:val="000000" w:themeColor="text1"/>
        </w:rPr>
        <w:t>,</w:t>
      </w:r>
      <w:r w:rsidRPr="0066422F">
        <w:rPr>
          <w:color w:val="000000" w:themeColor="text1"/>
        </w:rPr>
        <w:t xml:space="preserve"> </w:t>
      </w:r>
      <w:r w:rsidR="004A2751" w:rsidRPr="007A4E13">
        <w:rPr>
          <w:color w:val="000000" w:themeColor="text1"/>
        </w:rPr>
        <w:t>as well as</w:t>
      </w:r>
      <w:r w:rsidR="005C69D5">
        <w:rPr>
          <w:color w:val="000000" w:themeColor="text1"/>
        </w:rPr>
        <w:t xml:space="preserve"> to</w:t>
      </w:r>
      <w:r w:rsidR="004A2751" w:rsidRPr="007A4E13">
        <w:rPr>
          <w:color w:val="000000" w:themeColor="text1"/>
        </w:rPr>
        <w:t xml:space="preserve"> </w:t>
      </w:r>
      <w:r w:rsidRPr="0066422F">
        <w:rPr>
          <w:color w:val="000000" w:themeColor="text1"/>
        </w:rPr>
        <w:t xml:space="preserve">state and local justice partners </w:t>
      </w:r>
      <w:r w:rsidR="004A2751" w:rsidRPr="007A4E13">
        <w:rPr>
          <w:color w:val="000000" w:themeColor="text1"/>
        </w:rPr>
        <w:t xml:space="preserve">of </w:t>
      </w:r>
      <w:r w:rsidRPr="0066422F">
        <w:rPr>
          <w:color w:val="000000" w:themeColor="text1"/>
        </w:rPr>
        <w:t>the San Luis Obispo</w:t>
      </w:r>
      <w:r w:rsidR="0053549A">
        <w:rPr>
          <w:color w:val="000000" w:themeColor="text1"/>
        </w:rPr>
        <w:t xml:space="preserve"> </w:t>
      </w:r>
      <w:r w:rsidR="004A2751" w:rsidRPr="007A4E13">
        <w:rPr>
          <w:color w:val="000000" w:themeColor="text1"/>
        </w:rPr>
        <w:t>Superior C</w:t>
      </w:r>
      <w:r w:rsidRPr="0066422F">
        <w:rPr>
          <w:color w:val="000000" w:themeColor="text1"/>
        </w:rPr>
        <w:t>ourt.</w:t>
      </w:r>
    </w:p>
    <w:p w:rsidR="00651E8D" w:rsidRPr="00F56D6F" w:rsidRDefault="00651E8D" w:rsidP="00651E8D">
      <w:pPr>
        <w:pStyle w:val="ListParagraph"/>
        <w:ind w:left="360"/>
        <w:rPr>
          <w:color w:val="000000" w:themeColor="text1"/>
        </w:rPr>
      </w:pPr>
    </w:p>
    <w:p w:rsidR="0088206E" w:rsidRDefault="0088206E"/>
    <w:p w:rsidR="00C37FF7" w:rsidRPr="007954AF" w:rsidRDefault="00FC4A81" w:rsidP="007954AF">
      <w:pPr>
        <w:pStyle w:val="ListParagraph"/>
        <w:keepNext/>
        <w:numPr>
          <w:ilvl w:val="0"/>
          <w:numId w:val="47"/>
        </w:numPr>
        <w:rPr>
          <w:b/>
          <w:bCs/>
        </w:rPr>
      </w:pPr>
      <w:r w:rsidRPr="007954AF">
        <w:rPr>
          <w:b/>
          <w:bCs/>
        </w:rPr>
        <w:t xml:space="preserve">DESCRIPTION OF </w:t>
      </w:r>
      <w:r w:rsidR="000518CD" w:rsidRPr="007954AF">
        <w:rPr>
          <w:b/>
          <w:bCs/>
        </w:rPr>
        <w:t>GOODS AND/OR SER</w:t>
      </w:r>
      <w:r w:rsidR="009C38A6" w:rsidRPr="007954AF">
        <w:rPr>
          <w:b/>
          <w:bCs/>
        </w:rPr>
        <w:t xml:space="preserve">VICES </w:t>
      </w:r>
    </w:p>
    <w:p w:rsidR="00857C9A" w:rsidRDefault="00651E8D" w:rsidP="00F67398">
      <w:pPr>
        <w:pStyle w:val="BodyTextIndent"/>
        <w:numPr>
          <w:ilvl w:val="1"/>
          <w:numId w:val="48"/>
        </w:numPr>
        <w:spacing w:after="0"/>
        <w:rPr>
          <w:b/>
        </w:rPr>
      </w:pPr>
      <w:r w:rsidRPr="00827A6C">
        <w:rPr>
          <w:b/>
          <w:u w:val="single"/>
        </w:rPr>
        <w:t>Purpose</w:t>
      </w:r>
    </w:p>
    <w:p w:rsidR="007954AF" w:rsidRDefault="00651E8D" w:rsidP="007954AF">
      <w:pPr>
        <w:pStyle w:val="BodyTextIndent"/>
        <w:ind w:left="1080"/>
        <w:rPr>
          <w:lang w:bidi="en-US"/>
        </w:rPr>
      </w:pPr>
      <w:r w:rsidRPr="001F56DE">
        <w:rPr>
          <w:lang w:bidi="en-US"/>
        </w:rPr>
        <w:t>Th</w:t>
      </w:r>
      <w:r w:rsidR="005C69D5">
        <w:rPr>
          <w:lang w:bidi="en-US"/>
        </w:rPr>
        <w:t xml:space="preserve">e purpose of this </w:t>
      </w:r>
      <w:r w:rsidRPr="001F56DE">
        <w:rPr>
          <w:lang w:bidi="en-US"/>
        </w:rPr>
        <w:t xml:space="preserve">Request for Proposal (hereinafter called the RFP) is to obtain written proposals for a judicial </w:t>
      </w:r>
      <w:r w:rsidR="004913AB">
        <w:rPr>
          <w:lang w:bidi="en-US"/>
        </w:rPr>
        <w:t xml:space="preserve">court </w:t>
      </w:r>
      <w:r w:rsidRPr="001F56DE">
        <w:rPr>
          <w:lang w:bidi="en-US"/>
        </w:rPr>
        <w:t>case management system (CMS)</w:t>
      </w:r>
      <w:r w:rsidR="005C69D5">
        <w:rPr>
          <w:lang w:bidi="en-US"/>
        </w:rPr>
        <w:t xml:space="preserve">, </w:t>
      </w:r>
      <w:r w:rsidR="005466CF">
        <w:rPr>
          <w:lang w:bidi="en-US"/>
        </w:rPr>
        <w:t>Document management system (DMS)</w:t>
      </w:r>
      <w:r w:rsidRPr="001F56DE">
        <w:rPr>
          <w:lang w:bidi="en-US"/>
        </w:rPr>
        <w:t xml:space="preserve"> and accompanying imple</w:t>
      </w:r>
      <w:r w:rsidR="007B422C">
        <w:rPr>
          <w:lang w:bidi="en-US"/>
        </w:rPr>
        <w:t xml:space="preserve">mentation services to support a </w:t>
      </w:r>
      <w:r w:rsidR="002635C7">
        <w:rPr>
          <w:lang w:bidi="en-US"/>
        </w:rPr>
        <w:t>thirteen</w:t>
      </w:r>
      <w:r w:rsidR="005C69D5">
        <w:rPr>
          <w:lang w:bidi="en-US"/>
        </w:rPr>
        <w:t>-</w:t>
      </w:r>
      <w:r w:rsidRPr="001F56DE">
        <w:rPr>
          <w:lang w:bidi="en-US"/>
        </w:rPr>
        <w:t xml:space="preserve">month implementation of a </w:t>
      </w:r>
      <w:r w:rsidR="002F20FE" w:rsidRPr="002F20FE">
        <w:rPr>
          <w:color w:val="000000" w:themeColor="text1"/>
        </w:rPr>
        <w:t>single, all-case-type CMS and DMS</w:t>
      </w:r>
      <w:r w:rsidRPr="001F56DE">
        <w:rPr>
          <w:lang w:bidi="en-US"/>
        </w:rPr>
        <w:t xml:space="preserve"> </w:t>
      </w:r>
      <w:r w:rsidR="00512928">
        <w:rPr>
          <w:lang w:bidi="en-US"/>
        </w:rPr>
        <w:t>for the</w:t>
      </w:r>
      <w:r w:rsidR="005C69D5" w:rsidRPr="001F56DE">
        <w:rPr>
          <w:lang w:bidi="en-US"/>
        </w:rPr>
        <w:t xml:space="preserve"> </w:t>
      </w:r>
      <w:r w:rsidRPr="001F56DE">
        <w:rPr>
          <w:lang w:bidi="en-US"/>
        </w:rPr>
        <w:t>San Luis Obispo Superior Court</w:t>
      </w:r>
      <w:r w:rsidR="006F7E07">
        <w:rPr>
          <w:lang w:bidi="en-US"/>
        </w:rPr>
        <w:t xml:space="preserve">. </w:t>
      </w:r>
      <w:r w:rsidRPr="001F56DE">
        <w:rPr>
          <w:lang w:bidi="en-US"/>
        </w:rPr>
        <w:t xml:space="preserve">This RFP also </w:t>
      </w:r>
      <w:r w:rsidR="005C69D5">
        <w:rPr>
          <w:lang w:bidi="en-US"/>
        </w:rPr>
        <w:t>includes</w:t>
      </w:r>
      <w:r w:rsidR="005C69D5" w:rsidRPr="001F56DE">
        <w:rPr>
          <w:lang w:bidi="en-US"/>
        </w:rPr>
        <w:t xml:space="preserve"> </w:t>
      </w:r>
      <w:r w:rsidRPr="001F56DE">
        <w:rPr>
          <w:lang w:bidi="en-US"/>
        </w:rPr>
        <w:t xml:space="preserve">deployment services, training of </w:t>
      </w:r>
      <w:r w:rsidR="004B3DB3">
        <w:rPr>
          <w:lang w:bidi="en-US"/>
        </w:rPr>
        <w:t>all judicial and non</w:t>
      </w:r>
      <w:r w:rsidR="005C69D5">
        <w:rPr>
          <w:lang w:bidi="en-US"/>
        </w:rPr>
        <w:t>-</w:t>
      </w:r>
      <w:r w:rsidR="004B3DB3">
        <w:rPr>
          <w:lang w:bidi="en-US"/>
        </w:rPr>
        <w:t>judicial personnel who may utilize the system</w:t>
      </w:r>
      <w:r w:rsidRPr="001F56DE">
        <w:rPr>
          <w:lang w:bidi="en-US"/>
        </w:rPr>
        <w:t>, and ongoing maintenance and support. The purpose of the project is to provide San Luis Obispo with a state-of-the-art CMS</w:t>
      </w:r>
      <w:r w:rsidR="00516ECC">
        <w:rPr>
          <w:lang w:bidi="en-US"/>
        </w:rPr>
        <w:t>/DMS</w:t>
      </w:r>
      <w:r w:rsidRPr="001F56DE">
        <w:rPr>
          <w:lang w:bidi="en-US"/>
        </w:rPr>
        <w:t>, and a local hosting solution. A locally hosted solution should include the design of the CMS</w:t>
      </w:r>
      <w:r w:rsidR="00516ECC">
        <w:rPr>
          <w:lang w:bidi="en-US"/>
        </w:rPr>
        <w:t xml:space="preserve"> and DMS</w:t>
      </w:r>
      <w:r w:rsidRPr="001F56DE">
        <w:rPr>
          <w:lang w:bidi="en-US"/>
        </w:rPr>
        <w:t xml:space="preserve"> infrastructure and network infrastructure at the court that can support and uphold the proposed CMS</w:t>
      </w:r>
      <w:r w:rsidR="00512928">
        <w:rPr>
          <w:lang w:bidi="en-US"/>
        </w:rPr>
        <w:t>/</w:t>
      </w:r>
      <w:r w:rsidR="00516ECC">
        <w:rPr>
          <w:lang w:bidi="en-US"/>
        </w:rPr>
        <w:t>DMS</w:t>
      </w:r>
      <w:r w:rsidRPr="001F56DE">
        <w:rPr>
          <w:lang w:bidi="en-US"/>
        </w:rPr>
        <w:t xml:space="preserve"> solution.</w:t>
      </w:r>
      <w:r w:rsidR="00932E1D">
        <w:rPr>
          <w:lang w:bidi="en-US"/>
        </w:rPr>
        <w:t xml:space="preserve">  </w:t>
      </w:r>
    </w:p>
    <w:p w:rsidR="00C060B5" w:rsidRDefault="00651E8D">
      <w:pPr>
        <w:pStyle w:val="BodyTextIndent"/>
        <w:numPr>
          <w:ilvl w:val="1"/>
          <w:numId w:val="48"/>
        </w:numPr>
        <w:spacing w:after="0"/>
        <w:rPr>
          <w:lang w:bidi="en-US"/>
        </w:rPr>
      </w:pPr>
      <w:r w:rsidRPr="00827A6C">
        <w:rPr>
          <w:b/>
          <w:u w:val="single"/>
        </w:rPr>
        <w:t>Goal</w:t>
      </w:r>
    </w:p>
    <w:p w:rsidR="00630623" w:rsidRDefault="00630623" w:rsidP="00630623">
      <w:pPr>
        <w:pStyle w:val="BodyTextIndent"/>
        <w:ind w:left="1080"/>
      </w:pPr>
      <w:r w:rsidRPr="00827A6C">
        <w:t xml:space="preserve">The </w:t>
      </w:r>
      <w:r>
        <w:t xml:space="preserve">primary </w:t>
      </w:r>
      <w:r w:rsidRPr="00827A6C">
        <w:t>goal of th</w:t>
      </w:r>
      <w:r w:rsidR="00512928">
        <w:t>e</w:t>
      </w:r>
      <w:r>
        <w:t xml:space="preserve"> RFP </w:t>
      </w:r>
      <w:r w:rsidRPr="00827A6C">
        <w:t xml:space="preserve">is to replace </w:t>
      </w:r>
      <w:r>
        <w:t xml:space="preserve">San Luis Obispo Superior </w:t>
      </w:r>
      <w:r w:rsidR="005C69D5">
        <w:t>C</w:t>
      </w:r>
      <w:r w:rsidRPr="00827A6C">
        <w:t xml:space="preserve">ourt’s existing </w:t>
      </w:r>
      <w:r>
        <w:t xml:space="preserve">legacy systems with a </w:t>
      </w:r>
      <w:r w:rsidRPr="00827A6C">
        <w:t>CMS</w:t>
      </w:r>
      <w:r>
        <w:t xml:space="preserve">/DMS solution. The selected CMS/DMS and associated services should be modern, </w:t>
      </w:r>
      <w:r w:rsidRPr="00827A6C">
        <w:t xml:space="preserve">efficient, reliable, economical and proven. </w:t>
      </w:r>
      <w:r>
        <w:t>It is also the goal of this RFP to engage an experienced vendor capable of executing an efficient project</w:t>
      </w:r>
      <w:r w:rsidR="004E7916">
        <w:t xml:space="preserve"> within the</w:t>
      </w:r>
      <w:r>
        <w:t xml:space="preserve"> thirteen</w:t>
      </w:r>
      <w:r w:rsidR="00512928">
        <w:t>-</w:t>
      </w:r>
      <w:r>
        <w:t xml:space="preserve">month timeframe and also within budget. </w:t>
      </w:r>
    </w:p>
    <w:p w:rsidR="00654F0D" w:rsidRDefault="00651E8D" w:rsidP="007954AF">
      <w:pPr>
        <w:pStyle w:val="ListParagraph"/>
        <w:numPr>
          <w:ilvl w:val="1"/>
          <w:numId w:val="48"/>
        </w:numPr>
      </w:pPr>
      <w:r w:rsidRPr="007954AF">
        <w:rPr>
          <w:b/>
          <w:u w:val="single"/>
        </w:rPr>
        <w:t>Scope</w:t>
      </w:r>
    </w:p>
    <w:p w:rsidR="007064DF" w:rsidRDefault="00651E8D" w:rsidP="007954AF">
      <w:pPr>
        <w:pStyle w:val="ListParagraph"/>
        <w:ind w:left="1080"/>
      </w:pPr>
      <w:r w:rsidRPr="003531B7">
        <w:t>Th</w:t>
      </w:r>
      <w:r w:rsidR="004E5AD1">
        <w:t>e</w:t>
      </w:r>
      <w:r w:rsidRPr="003531B7">
        <w:t xml:space="preserve"> </w:t>
      </w:r>
      <w:r>
        <w:t xml:space="preserve">scope </w:t>
      </w:r>
      <w:r w:rsidR="004E7916">
        <w:t xml:space="preserve">of </w:t>
      </w:r>
      <w:r w:rsidR="00512928">
        <w:t xml:space="preserve">the </w:t>
      </w:r>
      <w:r>
        <w:t xml:space="preserve">RFP </w:t>
      </w:r>
      <w:r w:rsidRPr="003531B7">
        <w:t>is to obtain</w:t>
      </w:r>
      <w:r w:rsidR="00EB5211">
        <w:t xml:space="preserve"> case management software,</w:t>
      </w:r>
      <w:r w:rsidR="004E5AD1">
        <w:t xml:space="preserve"> licensing,</w:t>
      </w:r>
      <w:r w:rsidR="00EB5211">
        <w:t xml:space="preserve"> </w:t>
      </w:r>
      <w:r>
        <w:t>implementati</w:t>
      </w:r>
      <w:r w:rsidR="00BB0E26">
        <w:t>on services, network and</w:t>
      </w:r>
      <w:r>
        <w:t xml:space="preserve"> infrastructure recommendations</w:t>
      </w:r>
      <w:r w:rsidR="004E7916">
        <w:t>,</w:t>
      </w:r>
      <w:r>
        <w:t xml:space="preserve"> and a hosting solution for the CMS</w:t>
      </w:r>
      <w:r w:rsidR="00855F17">
        <w:t>/DMS</w:t>
      </w:r>
      <w:r>
        <w:t xml:space="preserve"> application</w:t>
      </w:r>
      <w:r w:rsidR="00855F17">
        <w:t>s</w:t>
      </w:r>
      <w:r>
        <w:t xml:space="preserve">. </w:t>
      </w:r>
      <w:r w:rsidR="004E5AD1">
        <w:t>Data conversion services are out</w:t>
      </w:r>
      <w:r w:rsidR="004E7916">
        <w:t>side</w:t>
      </w:r>
      <w:r w:rsidR="004E5AD1">
        <w:t xml:space="preserve"> of </w:t>
      </w:r>
      <w:r w:rsidR="004E7916">
        <w:t xml:space="preserve">the </w:t>
      </w:r>
      <w:r w:rsidR="004E5AD1">
        <w:t xml:space="preserve">scope </w:t>
      </w:r>
      <w:r w:rsidR="004E7916">
        <w:t xml:space="preserve">of </w:t>
      </w:r>
      <w:r w:rsidR="004E5AD1">
        <w:t>this RFP.</w:t>
      </w:r>
      <w:r w:rsidR="00995727">
        <w:t xml:space="preserve"> </w:t>
      </w:r>
      <w:r>
        <w:t xml:space="preserve">The hosting proposals being sought are for a </w:t>
      </w:r>
      <w:r w:rsidR="00855F17">
        <w:t xml:space="preserve">San Luis Obispo Superior Court </w:t>
      </w:r>
      <w:r>
        <w:t>loca</w:t>
      </w:r>
      <w:r w:rsidR="00855F17">
        <w:t>l</w:t>
      </w:r>
      <w:r>
        <w:t>l</w:t>
      </w:r>
      <w:r w:rsidR="00855F17">
        <w:t>y</w:t>
      </w:r>
      <w:r w:rsidR="004E7916">
        <w:t>-</w:t>
      </w:r>
      <w:r>
        <w:t>host</w:t>
      </w:r>
      <w:r w:rsidR="00855F17">
        <w:t>ed</w:t>
      </w:r>
      <w:r>
        <w:t xml:space="preserve"> solution only.</w:t>
      </w:r>
    </w:p>
    <w:p w:rsidR="00FC71BC" w:rsidRDefault="00FC71BC" w:rsidP="004E0B0B">
      <w:pPr>
        <w:ind w:left="720" w:hanging="36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462"/>
      </w:tblGrid>
      <w:tr w:rsidR="004E0B0B" w:rsidRPr="00827A6C" w:rsidTr="00417AB3">
        <w:trPr>
          <w:tblHeader/>
        </w:trPr>
        <w:tc>
          <w:tcPr>
            <w:tcW w:w="2358" w:type="dxa"/>
            <w:tcBorders>
              <w:bottom w:val="single" w:sz="12" w:space="0" w:color="auto"/>
            </w:tcBorders>
          </w:tcPr>
          <w:p w:rsidR="004E0B0B" w:rsidRPr="00827A6C" w:rsidRDefault="004E0B0B" w:rsidP="00417AB3">
            <w:pPr>
              <w:ind w:left="720"/>
              <w:rPr>
                <w:b/>
              </w:rPr>
            </w:pPr>
            <w:r w:rsidRPr="00827A6C">
              <w:rPr>
                <w:b/>
              </w:rPr>
              <w:t>Component</w:t>
            </w:r>
          </w:p>
        </w:tc>
        <w:tc>
          <w:tcPr>
            <w:tcW w:w="6462" w:type="dxa"/>
            <w:tcBorders>
              <w:bottom w:val="single" w:sz="12" w:space="0" w:color="auto"/>
            </w:tcBorders>
          </w:tcPr>
          <w:p w:rsidR="004E0B0B" w:rsidRPr="00827A6C" w:rsidRDefault="004E0B0B" w:rsidP="00417AB3">
            <w:pPr>
              <w:ind w:left="720"/>
              <w:rPr>
                <w:b/>
              </w:rPr>
            </w:pPr>
            <w:r w:rsidRPr="00827A6C">
              <w:rPr>
                <w:b/>
              </w:rPr>
              <w:t>Essential Technology or Servic</w:t>
            </w:r>
            <w:r w:rsidR="007A6DF1">
              <w:rPr>
                <w:b/>
              </w:rPr>
              <w:t>e</w:t>
            </w:r>
          </w:p>
        </w:tc>
      </w:tr>
      <w:tr w:rsidR="004E0B0B" w:rsidRPr="00827A6C" w:rsidTr="00417AB3">
        <w:tc>
          <w:tcPr>
            <w:tcW w:w="2358" w:type="dxa"/>
            <w:tcBorders>
              <w:top w:val="single" w:sz="12" w:space="0" w:color="auto"/>
            </w:tcBorders>
          </w:tcPr>
          <w:p w:rsidR="004E0B0B" w:rsidRPr="00827A6C" w:rsidRDefault="004E0B0B" w:rsidP="004B3DB3">
            <w:r w:rsidRPr="00827A6C">
              <w:t>Case Management System Application</w:t>
            </w:r>
          </w:p>
        </w:tc>
        <w:tc>
          <w:tcPr>
            <w:tcW w:w="6462" w:type="dxa"/>
            <w:tcBorders>
              <w:top w:val="single" w:sz="12" w:space="0" w:color="auto"/>
            </w:tcBorders>
          </w:tcPr>
          <w:p w:rsidR="004E0B0B" w:rsidRDefault="004E0B0B" w:rsidP="00417AB3">
            <w:pPr>
              <w:numPr>
                <w:ilvl w:val="0"/>
                <w:numId w:val="14"/>
              </w:numPr>
            </w:pPr>
            <w:r w:rsidRPr="00827A6C">
              <w:t>Compliant with functional requirements</w:t>
            </w:r>
            <w:r w:rsidR="00A012B1">
              <w:t xml:space="preserve"> (</w:t>
            </w:r>
            <w:r w:rsidR="00A012B1" w:rsidRPr="00A012B1">
              <w:rPr>
                <w:i/>
                <w:sz w:val="20"/>
                <w:szCs w:val="20"/>
              </w:rPr>
              <w:t xml:space="preserve">Attachment </w:t>
            </w:r>
            <w:r w:rsidR="0018567A">
              <w:rPr>
                <w:i/>
                <w:sz w:val="20"/>
                <w:szCs w:val="20"/>
              </w:rPr>
              <w:t>7</w:t>
            </w:r>
            <w:r w:rsidR="00A012B1">
              <w:t>)</w:t>
            </w:r>
          </w:p>
          <w:p w:rsidR="00417AB3" w:rsidRPr="00827A6C" w:rsidRDefault="00417AB3" w:rsidP="00417AB3">
            <w:pPr>
              <w:numPr>
                <w:ilvl w:val="0"/>
                <w:numId w:val="14"/>
              </w:numPr>
            </w:pPr>
            <w:r>
              <w:t xml:space="preserve">Current with </w:t>
            </w:r>
            <w:r w:rsidRPr="00827A6C">
              <w:t xml:space="preserve">state laws, federal regulations, rules of court, </w:t>
            </w:r>
            <w:r w:rsidR="009A5E24">
              <w:t xml:space="preserve">calculations of fees &amp; fines distribution, </w:t>
            </w:r>
            <w:r w:rsidRPr="00827A6C">
              <w:t>and administrative requirements</w:t>
            </w:r>
            <w:r w:rsidR="0018567A">
              <w:t xml:space="preserve"> (</w:t>
            </w:r>
            <w:r w:rsidR="0018567A" w:rsidRPr="00A012B1">
              <w:rPr>
                <w:i/>
                <w:sz w:val="20"/>
                <w:szCs w:val="20"/>
              </w:rPr>
              <w:t xml:space="preserve">Attachment </w:t>
            </w:r>
            <w:r w:rsidR="0018567A">
              <w:rPr>
                <w:i/>
                <w:sz w:val="20"/>
                <w:szCs w:val="20"/>
              </w:rPr>
              <w:t>1</w:t>
            </w:r>
            <w:r w:rsidR="0018567A">
              <w:t>)</w:t>
            </w:r>
          </w:p>
          <w:p w:rsidR="004E0B0B" w:rsidRDefault="004E0B0B" w:rsidP="00417AB3">
            <w:pPr>
              <w:numPr>
                <w:ilvl w:val="0"/>
                <w:numId w:val="14"/>
              </w:numPr>
            </w:pPr>
            <w:r w:rsidRPr="00827A6C">
              <w:t>Responsive to changes in state laws, federal regulations, rules of court, and administrative requirements</w:t>
            </w:r>
            <w:r w:rsidR="0018567A">
              <w:t xml:space="preserve"> (</w:t>
            </w:r>
            <w:r w:rsidR="0018567A" w:rsidRPr="00A012B1">
              <w:rPr>
                <w:i/>
                <w:sz w:val="20"/>
                <w:szCs w:val="20"/>
              </w:rPr>
              <w:t xml:space="preserve">Attachment </w:t>
            </w:r>
            <w:r w:rsidR="0018567A">
              <w:rPr>
                <w:i/>
                <w:sz w:val="20"/>
                <w:szCs w:val="20"/>
              </w:rPr>
              <w:t>1</w:t>
            </w:r>
            <w:r w:rsidR="0018567A">
              <w:t>)</w:t>
            </w:r>
          </w:p>
          <w:p w:rsidR="004E0B0B" w:rsidRPr="00827A6C" w:rsidRDefault="004E0B0B" w:rsidP="00417AB3">
            <w:pPr>
              <w:numPr>
                <w:ilvl w:val="0"/>
                <w:numId w:val="14"/>
              </w:numPr>
            </w:pPr>
            <w:r>
              <w:t>Scalable system to accommodate court size, court users, data volume, and public web users</w:t>
            </w:r>
          </w:p>
          <w:p w:rsidR="004E0B0B" w:rsidRPr="00827A6C" w:rsidRDefault="004E0B0B" w:rsidP="00417AB3">
            <w:pPr>
              <w:numPr>
                <w:ilvl w:val="0"/>
                <w:numId w:val="14"/>
              </w:numPr>
            </w:pPr>
            <w:r w:rsidRPr="00827A6C">
              <w:t xml:space="preserve">Data </w:t>
            </w:r>
            <w:r w:rsidR="007A6DF1">
              <w:t>s</w:t>
            </w:r>
            <w:r w:rsidRPr="00827A6C">
              <w:t>ecurity</w:t>
            </w:r>
          </w:p>
          <w:p w:rsidR="004E0B0B" w:rsidRPr="00827A6C" w:rsidRDefault="004E0B0B" w:rsidP="00417AB3">
            <w:pPr>
              <w:numPr>
                <w:ilvl w:val="0"/>
                <w:numId w:val="14"/>
              </w:numPr>
            </w:pPr>
            <w:r w:rsidRPr="00827A6C">
              <w:t xml:space="preserve">Database </w:t>
            </w:r>
            <w:r w:rsidR="007A6DF1">
              <w:t>a</w:t>
            </w:r>
            <w:r w:rsidRPr="00827A6C">
              <w:t>gnostic</w:t>
            </w:r>
          </w:p>
          <w:p w:rsidR="004E0B0B" w:rsidRPr="00827A6C" w:rsidRDefault="004E0B0B" w:rsidP="00417AB3">
            <w:pPr>
              <w:numPr>
                <w:ilvl w:val="0"/>
                <w:numId w:val="14"/>
              </w:numPr>
            </w:pPr>
            <w:r w:rsidRPr="00827A6C">
              <w:t xml:space="preserve">Document Management System (DMS) </w:t>
            </w:r>
            <w:r w:rsidR="00E8342D">
              <w:t>compatible</w:t>
            </w:r>
          </w:p>
          <w:p w:rsidR="004E0B0B" w:rsidRDefault="004E0B0B" w:rsidP="00417AB3">
            <w:pPr>
              <w:numPr>
                <w:ilvl w:val="0"/>
                <w:numId w:val="14"/>
              </w:numPr>
            </w:pPr>
            <w:r w:rsidRPr="00827A6C">
              <w:t>E-filing capable</w:t>
            </w:r>
          </w:p>
          <w:p w:rsidR="004E0B0B" w:rsidRPr="00827A6C" w:rsidRDefault="004E0B0B" w:rsidP="00417AB3">
            <w:pPr>
              <w:numPr>
                <w:ilvl w:val="0"/>
                <w:numId w:val="14"/>
              </w:numPr>
            </w:pPr>
            <w:r>
              <w:t>Web</w:t>
            </w:r>
            <w:r w:rsidR="007A6DF1">
              <w:t>-</w:t>
            </w:r>
            <w:r>
              <w:t>based public</w:t>
            </w:r>
            <w:r w:rsidR="007A6DF1">
              <w:t>-</w:t>
            </w:r>
            <w:r>
              <w:t>facing portal</w:t>
            </w:r>
          </w:p>
          <w:p w:rsidR="00C46E3C" w:rsidRDefault="00E8342D">
            <w:pPr>
              <w:numPr>
                <w:ilvl w:val="0"/>
                <w:numId w:val="15"/>
              </w:numPr>
            </w:pPr>
            <w:r w:rsidRPr="00827A6C">
              <w:t>Standard desktop configuration</w:t>
            </w:r>
            <w:r>
              <w:t xml:space="preserve"> requirements</w:t>
            </w:r>
            <w:r w:rsidR="0018567A">
              <w:t xml:space="preserve"> (</w:t>
            </w:r>
            <w:r w:rsidR="0018567A" w:rsidRPr="00A012B1">
              <w:rPr>
                <w:i/>
                <w:sz w:val="20"/>
                <w:szCs w:val="20"/>
              </w:rPr>
              <w:t xml:space="preserve">Attachment </w:t>
            </w:r>
            <w:r w:rsidR="0018567A">
              <w:rPr>
                <w:i/>
                <w:sz w:val="20"/>
                <w:szCs w:val="20"/>
              </w:rPr>
              <w:t>9</w:t>
            </w:r>
            <w:r w:rsidR="0018567A">
              <w:t>)</w:t>
            </w:r>
          </w:p>
          <w:p w:rsidR="004E0B0B" w:rsidRDefault="004E0B0B" w:rsidP="00417AB3">
            <w:pPr>
              <w:numPr>
                <w:ilvl w:val="0"/>
                <w:numId w:val="14"/>
              </w:numPr>
            </w:pPr>
            <w:r w:rsidRPr="00827A6C">
              <w:t>State and local data exchange compliant</w:t>
            </w:r>
          </w:p>
          <w:p w:rsidR="004E0B0B" w:rsidRPr="00827A6C" w:rsidRDefault="004E0B0B" w:rsidP="00417AB3">
            <w:pPr>
              <w:numPr>
                <w:ilvl w:val="0"/>
                <w:numId w:val="14"/>
              </w:numPr>
            </w:pPr>
            <w:r w:rsidRPr="002E3DA2">
              <w:rPr>
                <w:rFonts w:cs="Calibri"/>
              </w:rPr>
              <w:t>Configurable workflow to actively process cases using automated and manual work queues</w:t>
            </w:r>
          </w:p>
        </w:tc>
      </w:tr>
      <w:tr w:rsidR="004E0B0B" w:rsidRPr="00827A6C" w:rsidTr="00417AB3">
        <w:tc>
          <w:tcPr>
            <w:tcW w:w="2358" w:type="dxa"/>
          </w:tcPr>
          <w:p w:rsidR="004E0B0B" w:rsidRPr="00827A6C" w:rsidRDefault="004E0B0B" w:rsidP="004B3DB3">
            <w:r w:rsidRPr="00827A6C">
              <w:t>Local Hosting Solution Design</w:t>
            </w:r>
          </w:p>
        </w:tc>
        <w:tc>
          <w:tcPr>
            <w:tcW w:w="6462" w:type="dxa"/>
          </w:tcPr>
          <w:p w:rsidR="004E0B0B" w:rsidRDefault="004E7916" w:rsidP="00417AB3">
            <w:pPr>
              <w:numPr>
                <w:ilvl w:val="0"/>
                <w:numId w:val="15"/>
              </w:numPr>
            </w:pPr>
            <w:r>
              <w:t>P</w:t>
            </w:r>
            <w:r w:rsidR="009A5E24">
              <w:t xml:space="preserve">roposed </w:t>
            </w:r>
            <w:r w:rsidR="004E0B0B" w:rsidRPr="00827A6C">
              <w:t>CMS</w:t>
            </w:r>
            <w:r w:rsidR="00417AB3">
              <w:t>/DMS</w:t>
            </w:r>
            <w:r w:rsidR="004E0B0B" w:rsidRPr="00827A6C">
              <w:t xml:space="preserve"> application</w:t>
            </w:r>
            <w:r w:rsidR="009A5E24">
              <w:t>, all</w:t>
            </w:r>
            <w:r w:rsidR="00B233FE">
              <w:t xml:space="preserve"> </w:t>
            </w:r>
            <w:r w:rsidR="00686F6C">
              <w:t>sub</w:t>
            </w:r>
            <w:r w:rsidR="004E0B0B">
              <w:t>-components</w:t>
            </w:r>
            <w:r w:rsidR="009A5E24">
              <w:t xml:space="preserve">, and associated hardware and software </w:t>
            </w:r>
            <w:r>
              <w:t xml:space="preserve">are </w:t>
            </w:r>
            <w:r w:rsidR="009A5E24">
              <w:t>in compliance with infrastructure</w:t>
            </w:r>
            <w:r w:rsidR="00512928">
              <w:t>,</w:t>
            </w:r>
            <w:r w:rsidR="009A5E24">
              <w:t xml:space="preserve"> application</w:t>
            </w:r>
            <w:r w:rsidR="00512928">
              <w:t>,</w:t>
            </w:r>
            <w:r w:rsidR="009A5E24">
              <w:t xml:space="preserve"> and security requirements</w:t>
            </w:r>
            <w:r w:rsidR="0018567A">
              <w:t xml:space="preserve"> (</w:t>
            </w:r>
            <w:r w:rsidR="0018567A" w:rsidRPr="00A012B1">
              <w:rPr>
                <w:i/>
                <w:sz w:val="20"/>
                <w:szCs w:val="20"/>
              </w:rPr>
              <w:t xml:space="preserve">Attachment </w:t>
            </w:r>
            <w:r w:rsidR="0018567A">
              <w:rPr>
                <w:i/>
                <w:sz w:val="20"/>
                <w:szCs w:val="20"/>
              </w:rPr>
              <w:t>13</w:t>
            </w:r>
            <w:r w:rsidR="0018567A">
              <w:t>)</w:t>
            </w:r>
          </w:p>
          <w:p w:rsidR="00417AB3" w:rsidRDefault="00417AB3" w:rsidP="00417AB3">
            <w:pPr>
              <w:numPr>
                <w:ilvl w:val="0"/>
                <w:numId w:val="15"/>
              </w:numPr>
            </w:pPr>
            <w:r>
              <w:t xml:space="preserve">Hardware requirements specifications </w:t>
            </w:r>
            <w:r w:rsidR="001F08EB">
              <w:t>for</w:t>
            </w:r>
            <w:r>
              <w:t xml:space="preserve"> efficiently handl</w:t>
            </w:r>
            <w:r w:rsidR="001F08EB">
              <w:t>ing</w:t>
            </w:r>
            <w:r>
              <w:t xml:space="preserve"> the processing needs of San Luis Obispo Superior Court, </w:t>
            </w:r>
            <w:r w:rsidR="00811D36">
              <w:t>s</w:t>
            </w:r>
            <w:r>
              <w:t>tate and local Justice Partners, and the public</w:t>
            </w:r>
          </w:p>
          <w:p w:rsidR="00686F6C" w:rsidRPr="00827A6C" w:rsidRDefault="00686F6C" w:rsidP="00417AB3">
            <w:pPr>
              <w:numPr>
                <w:ilvl w:val="0"/>
                <w:numId w:val="15"/>
              </w:numPr>
            </w:pPr>
            <w:r>
              <w:t xml:space="preserve">Third Party Software </w:t>
            </w:r>
            <w:r w:rsidR="007328D8">
              <w:t>r</w:t>
            </w:r>
            <w:r>
              <w:t>equirements</w:t>
            </w:r>
          </w:p>
          <w:p w:rsidR="004E0B0B" w:rsidRPr="00827A6C" w:rsidRDefault="00BB0E26" w:rsidP="00417AB3">
            <w:pPr>
              <w:numPr>
                <w:ilvl w:val="0"/>
                <w:numId w:val="15"/>
              </w:numPr>
            </w:pPr>
            <w:r>
              <w:t>Network s</w:t>
            </w:r>
            <w:r w:rsidR="004E0B0B" w:rsidRPr="00827A6C">
              <w:t xml:space="preserve">ecurity </w:t>
            </w:r>
            <w:r w:rsidR="00417AB3">
              <w:t xml:space="preserve">and bandwidth </w:t>
            </w:r>
            <w:r w:rsidR="007328D8">
              <w:t>s</w:t>
            </w:r>
            <w:r w:rsidR="004E0B0B" w:rsidRPr="00827A6C">
              <w:t>pecifications</w:t>
            </w:r>
          </w:p>
          <w:p w:rsidR="004E0B0B" w:rsidRPr="00827A6C" w:rsidRDefault="004E0B0B" w:rsidP="00417AB3">
            <w:pPr>
              <w:numPr>
                <w:ilvl w:val="0"/>
                <w:numId w:val="15"/>
              </w:numPr>
            </w:pPr>
            <w:r w:rsidRPr="00827A6C">
              <w:t>Systems management (</w:t>
            </w:r>
            <w:r w:rsidR="00417AB3">
              <w:t xml:space="preserve">administration, </w:t>
            </w:r>
            <w:r w:rsidRPr="00827A6C">
              <w:t>change management, security, data recovery, and disaster recovery)</w:t>
            </w:r>
          </w:p>
        </w:tc>
      </w:tr>
      <w:tr w:rsidR="004E0B0B" w:rsidRPr="00827A6C" w:rsidTr="00417AB3">
        <w:tc>
          <w:tcPr>
            <w:tcW w:w="2358" w:type="dxa"/>
          </w:tcPr>
          <w:p w:rsidR="004E0B0B" w:rsidRPr="00827A6C" w:rsidRDefault="004E0B0B" w:rsidP="004B3DB3">
            <w:r w:rsidRPr="00827A6C">
              <w:t>Deployment Services</w:t>
            </w:r>
          </w:p>
        </w:tc>
        <w:tc>
          <w:tcPr>
            <w:tcW w:w="6462" w:type="dxa"/>
          </w:tcPr>
          <w:p w:rsidR="008A6ABE" w:rsidRDefault="008A6ABE" w:rsidP="008A6ABE">
            <w:pPr>
              <w:numPr>
                <w:ilvl w:val="0"/>
                <w:numId w:val="17"/>
              </w:numPr>
            </w:pPr>
            <w:r w:rsidRPr="00827A6C">
              <w:t>Deployment</w:t>
            </w:r>
            <w:r>
              <w:t xml:space="preserve"> project plan with</w:t>
            </w:r>
            <w:r w:rsidRPr="00827A6C">
              <w:t xml:space="preserve"> schedule depicting deployment timeline</w:t>
            </w:r>
          </w:p>
          <w:p w:rsidR="008A6ABE" w:rsidRDefault="008A6ABE" w:rsidP="008A6ABE">
            <w:pPr>
              <w:numPr>
                <w:ilvl w:val="0"/>
                <w:numId w:val="17"/>
              </w:numPr>
            </w:pPr>
            <w:r>
              <w:t>Deployment approach that includes:</w:t>
            </w:r>
          </w:p>
          <w:p w:rsidR="008A6ABE" w:rsidRDefault="008A6ABE" w:rsidP="008A6ABE">
            <w:pPr>
              <w:pStyle w:val="ListParagraph"/>
              <w:numPr>
                <w:ilvl w:val="0"/>
                <w:numId w:val="24"/>
              </w:numPr>
              <w:rPr>
                <w:rFonts w:cs="Calibri"/>
              </w:rPr>
            </w:pPr>
            <w:r w:rsidRPr="00BE2D09">
              <w:rPr>
                <w:rFonts w:cs="Calibri"/>
              </w:rPr>
              <w:t xml:space="preserve">Project </w:t>
            </w:r>
            <w:r w:rsidR="001F08EB">
              <w:rPr>
                <w:rFonts w:cs="Calibri"/>
              </w:rPr>
              <w:t>m</w:t>
            </w:r>
            <w:r w:rsidRPr="00BE2D09">
              <w:rPr>
                <w:rFonts w:cs="Calibri"/>
              </w:rPr>
              <w:t>anagement</w:t>
            </w:r>
          </w:p>
          <w:p w:rsidR="008A6ABE" w:rsidRDefault="008A6ABE" w:rsidP="008A6ABE">
            <w:pPr>
              <w:pStyle w:val="ListParagraph"/>
              <w:numPr>
                <w:ilvl w:val="1"/>
                <w:numId w:val="50"/>
              </w:numPr>
              <w:rPr>
                <w:rFonts w:cs="Calibri"/>
              </w:rPr>
            </w:pPr>
            <w:r>
              <w:rPr>
                <w:rFonts w:cs="Calibri"/>
              </w:rPr>
              <w:t>Work break-down by resources</w:t>
            </w:r>
          </w:p>
          <w:p w:rsidR="008A6ABE" w:rsidRDefault="008A6ABE" w:rsidP="008A6ABE">
            <w:pPr>
              <w:pStyle w:val="ListParagraph"/>
              <w:numPr>
                <w:ilvl w:val="1"/>
                <w:numId w:val="50"/>
              </w:numPr>
              <w:rPr>
                <w:rFonts w:cs="Calibri"/>
              </w:rPr>
            </w:pPr>
            <w:r>
              <w:rPr>
                <w:rFonts w:cs="Calibri"/>
              </w:rPr>
              <w:t xml:space="preserve">Resource </w:t>
            </w:r>
            <w:r w:rsidR="001F08EB">
              <w:rPr>
                <w:rFonts w:cs="Calibri"/>
              </w:rPr>
              <w:t>p</w:t>
            </w:r>
            <w:r>
              <w:rPr>
                <w:rFonts w:cs="Calibri"/>
              </w:rPr>
              <w:t xml:space="preserve">lan </w:t>
            </w:r>
            <w:r w:rsidR="001F08EB">
              <w:rPr>
                <w:rFonts w:cs="Calibri"/>
              </w:rPr>
              <w:t>l</w:t>
            </w:r>
            <w:r>
              <w:rPr>
                <w:rFonts w:cs="Calibri"/>
              </w:rPr>
              <w:t>oading</w:t>
            </w:r>
          </w:p>
          <w:p w:rsidR="008A6ABE" w:rsidRPr="00BE2D09" w:rsidRDefault="008A6ABE" w:rsidP="008A6ABE">
            <w:pPr>
              <w:pStyle w:val="ListParagraph"/>
              <w:numPr>
                <w:ilvl w:val="1"/>
                <w:numId w:val="50"/>
              </w:numPr>
              <w:rPr>
                <w:rFonts w:cs="Calibri"/>
              </w:rPr>
            </w:pPr>
            <w:r>
              <w:rPr>
                <w:rFonts w:cs="Calibri"/>
              </w:rPr>
              <w:t xml:space="preserve">Project </w:t>
            </w:r>
            <w:r w:rsidR="001F08EB">
              <w:rPr>
                <w:rFonts w:cs="Calibri"/>
              </w:rPr>
              <w:t>m</w:t>
            </w:r>
            <w:r>
              <w:rPr>
                <w:rFonts w:cs="Calibri"/>
              </w:rPr>
              <w:t xml:space="preserve">anagement </w:t>
            </w:r>
            <w:r w:rsidR="001F08EB">
              <w:rPr>
                <w:rFonts w:cs="Calibri"/>
              </w:rPr>
              <w:t>t</w:t>
            </w:r>
            <w:r>
              <w:rPr>
                <w:rFonts w:cs="Calibri"/>
              </w:rPr>
              <w:t>ools</w:t>
            </w:r>
          </w:p>
          <w:p w:rsidR="008A6ABE" w:rsidRPr="00984FCA" w:rsidRDefault="00A012B1" w:rsidP="008A6ABE">
            <w:pPr>
              <w:pStyle w:val="ListParagraph"/>
              <w:numPr>
                <w:ilvl w:val="0"/>
                <w:numId w:val="24"/>
              </w:numPr>
            </w:pPr>
            <w:r>
              <w:t>CMS</w:t>
            </w:r>
            <w:r w:rsidR="008A6ABE" w:rsidRPr="00984FCA">
              <w:t xml:space="preserve"> </w:t>
            </w:r>
            <w:r w:rsidR="005E223D">
              <w:t>e</w:t>
            </w:r>
            <w:r w:rsidR="008A6ABE" w:rsidRPr="00984FCA">
              <w:t>nvironment</w:t>
            </w:r>
            <w:r w:rsidR="008A6ABE">
              <w:t>s</w:t>
            </w:r>
            <w:r w:rsidR="008A6ABE" w:rsidRPr="00984FCA">
              <w:t xml:space="preserve"> </w:t>
            </w:r>
            <w:r w:rsidR="005E223D">
              <w:t>d</w:t>
            </w:r>
            <w:r w:rsidR="008A6ABE" w:rsidRPr="00984FCA">
              <w:t>esign</w:t>
            </w:r>
            <w:r w:rsidR="008A6ABE">
              <w:t>, acquisition specifications, and build instructions providing tec</w:t>
            </w:r>
            <w:r w:rsidR="006230B7">
              <w:t>hnical assistance to the C</w:t>
            </w:r>
            <w:r w:rsidR="008A6ABE">
              <w:t>ourt technical staff</w:t>
            </w:r>
          </w:p>
          <w:p w:rsidR="008A6ABE" w:rsidRPr="00BE2D09" w:rsidRDefault="008A6ABE" w:rsidP="008A6ABE">
            <w:pPr>
              <w:pStyle w:val="ListParagraph"/>
              <w:numPr>
                <w:ilvl w:val="0"/>
                <w:numId w:val="24"/>
              </w:numPr>
              <w:rPr>
                <w:rFonts w:cs="Calibri"/>
              </w:rPr>
            </w:pPr>
            <w:r w:rsidRPr="00BE2D09">
              <w:rPr>
                <w:rFonts w:cs="Calibri"/>
              </w:rPr>
              <w:t>Functional Requirements</w:t>
            </w:r>
            <w:r>
              <w:rPr>
                <w:rFonts w:cs="Calibri"/>
              </w:rPr>
              <w:t xml:space="preserve"> Gap Analysis</w:t>
            </w:r>
          </w:p>
          <w:p w:rsidR="008A6ABE" w:rsidRDefault="008A6ABE" w:rsidP="008A6ABE">
            <w:pPr>
              <w:pStyle w:val="ListParagraph"/>
              <w:numPr>
                <w:ilvl w:val="0"/>
                <w:numId w:val="24"/>
              </w:numPr>
              <w:rPr>
                <w:rFonts w:cs="Calibri"/>
              </w:rPr>
            </w:pPr>
            <w:r>
              <w:rPr>
                <w:rFonts w:cs="Calibri"/>
              </w:rPr>
              <w:t>Deployment</w:t>
            </w:r>
            <w:r w:rsidRPr="00BE2D09">
              <w:rPr>
                <w:rFonts w:cs="Calibri"/>
              </w:rPr>
              <w:t xml:space="preserve"> Plan</w:t>
            </w:r>
          </w:p>
          <w:p w:rsidR="008A6ABE" w:rsidRPr="00BE2D09" w:rsidRDefault="008A6ABE" w:rsidP="008A6ABE">
            <w:pPr>
              <w:pStyle w:val="ListParagraph"/>
              <w:numPr>
                <w:ilvl w:val="0"/>
                <w:numId w:val="24"/>
              </w:numPr>
              <w:rPr>
                <w:rFonts w:cs="Calibri"/>
              </w:rPr>
            </w:pPr>
            <w:r>
              <w:rPr>
                <w:rFonts w:cs="Calibri"/>
              </w:rPr>
              <w:t>Training Plan</w:t>
            </w:r>
          </w:p>
          <w:p w:rsidR="008A6ABE" w:rsidRDefault="008A6ABE" w:rsidP="008A6ABE">
            <w:pPr>
              <w:pStyle w:val="ListParagraph"/>
              <w:numPr>
                <w:ilvl w:val="0"/>
                <w:numId w:val="24"/>
              </w:numPr>
              <w:rPr>
                <w:rFonts w:cs="Calibri"/>
              </w:rPr>
            </w:pPr>
            <w:r w:rsidRPr="00BE2D09">
              <w:rPr>
                <w:rFonts w:cs="Calibri"/>
              </w:rPr>
              <w:t>Integration Plan</w:t>
            </w:r>
          </w:p>
          <w:p w:rsidR="00C060B5" w:rsidRDefault="008A6ABE">
            <w:pPr>
              <w:pStyle w:val="ListParagraph"/>
              <w:numPr>
                <w:ilvl w:val="0"/>
                <w:numId w:val="24"/>
              </w:numPr>
            </w:pPr>
            <w:r>
              <w:rPr>
                <w:rFonts w:cs="Calibri"/>
              </w:rPr>
              <w:t>Cutover Plan</w:t>
            </w:r>
          </w:p>
          <w:p w:rsidR="004E0B0B" w:rsidRDefault="004E0B0B" w:rsidP="00417AB3">
            <w:pPr>
              <w:numPr>
                <w:ilvl w:val="0"/>
                <w:numId w:val="17"/>
              </w:numPr>
            </w:pPr>
            <w:r w:rsidRPr="00827A6C">
              <w:t>Vendo</w:t>
            </w:r>
            <w:r w:rsidR="00BB0E26">
              <w:t xml:space="preserve">r resources for implementation, </w:t>
            </w:r>
            <w:r w:rsidRPr="00827A6C">
              <w:t>testing, training and cutover activities</w:t>
            </w:r>
            <w:r w:rsidR="007328D8">
              <w:t>:</w:t>
            </w:r>
          </w:p>
          <w:p w:rsidR="004E0B0B" w:rsidRDefault="004E0B0B" w:rsidP="00417AB3">
            <w:pPr>
              <w:pStyle w:val="ListParagraph"/>
              <w:numPr>
                <w:ilvl w:val="0"/>
                <w:numId w:val="25"/>
              </w:numPr>
              <w:rPr>
                <w:rFonts w:cs="Calibri"/>
              </w:rPr>
            </w:pPr>
            <w:r w:rsidRPr="00BE2D09">
              <w:rPr>
                <w:rFonts w:cs="Calibri"/>
              </w:rPr>
              <w:t>Environment Specifications</w:t>
            </w:r>
          </w:p>
          <w:p w:rsidR="004E0B0B" w:rsidRDefault="004E0B0B" w:rsidP="00417AB3">
            <w:pPr>
              <w:pStyle w:val="ListParagraph"/>
              <w:numPr>
                <w:ilvl w:val="0"/>
                <w:numId w:val="25"/>
              </w:numPr>
              <w:rPr>
                <w:rFonts w:cs="Calibri"/>
              </w:rPr>
            </w:pPr>
            <w:r>
              <w:rPr>
                <w:rFonts w:cs="Calibri"/>
              </w:rPr>
              <w:t>Infrastructure build, CMS and DMS software load</w:t>
            </w:r>
            <w:r w:rsidR="007F30C7">
              <w:rPr>
                <w:rFonts w:cs="Calibri"/>
              </w:rPr>
              <w:t>,</w:t>
            </w:r>
            <w:r>
              <w:rPr>
                <w:rFonts w:cs="Calibri"/>
              </w:rPr>
              <w:t xml:space="preserve"> and global configuration setup services </w:t>
            </w:r>
          </w:p>
          <w:p w:rsidR="004E0B0B" w:rsidRPr="00B67359" w:rsidRDefault="004E0B0B" w:rsidP="00417AB3">
            <w:pPr>
              <w:pStyle w:val="ListParagraph"/>
              <w:numPr>
                <w:ilvl w:val="0"/>
                <w:numId w:val="25"/>
              </w:numPr>
              <w:rPr>
                <w:rFonts w:cs="Calibri"/>
              </w:rPr>
            </w:pPr>
            <w:r>
              <w:rPr>
                <w:rFonts w:cs="Calibri"/>
              </w:rPr>
              <w:t>Implementation Services</w:t>
            </w:r>
          </w:p>
          <w:p w:rsidR="004E0B0B" w:rsidRPr="00BE2D09" w:rsidRDefault="004E0B0B" w:rsidP="00417AB3">
            <w:pPr>
              <w:pStyle w:val="ListParagraph"/>
              <w:numPr>
                <w:ilvl w:val="0"/>
                <w:numId w:val="25"/>
              </w:numPr>
              <w:rPr>
                <w:rFonts w:cs="Calibri"/>
              </w:rPr>
            </w:pPr>
            <w:r w:rsidRPr="00BE2D09">
              <w:rPr>
                <w:rFonts w:cs="Calibri"/>
              </w:rPr>
              <w:t>Baseline Configuration</w:t>
            </w:r>
          </w:p>
          <w:p w:rsidR="004E0B0B" w:rsidRPr="00BE2D09" w:rsidRDefault="004E0B0B" w:rsidP="00417AB3">
            <w:pPr>
              <w:pStyle w:val="ListParagraph"/>
              <w:numPr>
                <w:ilvl w:val="0"/>
                <w:numId w:val="25"/>
              </w:numPr>
              <w:rPr>
                <w:rFonts w:cs="Calibri"/>
              </w:rPr>
            </w:pPr>
            <w:r w:rsidRPr="00BE2D09">
              <w:rPr>
                <w:rFonts w:cs="Calibri"/>
              </w:rPr>
              <w:t>Set</w:t>
            </w:r>
            <w:r w:rsidR="007F30C7">
              <w:rPr>
                <w:rFonts w:cs="Calibri"/>
              </w:rPr>
              <w:t>u</w:t>
            </w:r>
            <w:r w:rsidRPr="00BE2D09">
              <w:rPr>
                <w:rFonts w:cs="Calibri"/>
              </w:rPr>
              <w:t>p and Administration</w:t>
            </w:r>
          </w:p>
          <w:p w:rsidR="004E0B0B" w:rsidRPr="00BE2D09" w:rsidRDefault="004E0B0B" w:rsidP="00417AB3">
            <w:pPr>
              <w:pStyle w:val="ListParagraph"/>
              <w:numPr>
                <w:ilvl w:val="0"/>
                <w:numId w:val="25"/>
              </w:numPr>
              <w:rPr>
                <w:rFonts w:cs="Calibri"/>
              </w:rPr>
            </w:pPr>
            <w:r w:rsidRPr="00BE2D09">
              <w:rPr>
                <w:rFonts w:cs="Calibri"/>
              </w:rPr>
              <w:t>Documentation</w:t>
            </w:r>
          </w:p>
          <w:p w:rsidR="004E0B0B" w:rsidRDefault="004E0B0B" w:rsidP="00417AB3">
            <w:pPr>
              <w:pStyle w:val="ListParagraph"/>
              <w:numPr>
                <w:ilvl w:val="0"/>
                <w:numId w:val="25"/>
              </w:numPr>
              <w:rPr>
                <w:rFonts w:cs="Calibri"/>
              </w:rPr>
            </w:pPr>
            <w:r w:rsidRPr="00BE2D09">
              <w:rPr>
                <w:rFonts w:cs="Calibri"/>
              </w:rPr>
              <w:t>Testing</w:t>
            </w:r>
            <w:r>
              <w:rPr>
                <w:rFonts w:cs="Calibri"/>
              </w:rPr>
              <w:t xml:space="preserve"> of Business Functionality and</w:t>
            </w:r>
            <w:r w:rsidRPr="00BE2D09">
              <w:rPr>
                <w:rFonts w:cs="Calibri"/>
              </w:rPr>
              <w:t xml:space="preserve"> Validation</w:t>
            </w:r>
            <w:r w:rsidR="00417AB3">
              <w:rPr>
                <w:rFonts w:cs="Calibri"/>
              </w:rPr>
              <w:t xml:space="preserve"> using valid business cases with known and expected results</w:t>
            </w:r>
          </w:p>
          <w:p w:rsidR="004E0B0B" w:rsidRPr="00BE2D09" w:rsidRDefault="004E0B0B" w:rsidP="00417AB3">
            <w:pPr>
              <w:pStyle w:val="ListParagraph"/>
              <w:numPr>
                <w:ilvl w:val="0"/>
                <w:numId w:val="25"/>
              </w:numPr>
              <w:rPr>
                <w:rFonts w:cs="Calibri"/>
              </w:rPr>
            </w:pPr>
            <w:r>
              <w:rPr>
                <w:rFonts w:cs="Calibri"/>
              </w:rPr>
              <w:t>Integration testing</w:t>
            </w:r>
          </w:p>
          <w:p w:rsidR="004E0B0B" w:rsidRDefault="004E0B0B" w:rsidP="00417AB3">
            <w:pPr>
              <w:pStyle w:val="ListParagraph"/>
              <w:numPr>
                <w:ilvl w:val="0"/>
                <w:numId w:val="25"/>
              </w:numPr>
              <w:rPr>
                <w:rFonts w:cs="Calibri"/>
              </w:rPr>
            </w:pPr>
            <w:r>
              <w:rPr>
                <w:rFonts w:cs="Calibri"/>
              </w:rPr>
              <w:t>End</w:t>
            </w:r>
            <w:r w:rsidR="007F30C7">
              <w:rPr>
                <w:rFonts w:cs="Calibri"/>
              </w:rPr>
              <w:t>-</w:t>
            </w:r>
            <w:r w:rsidR="001F08EB">
              <w:rPr>
                <w:rFonts w:cs="Calibri"/>
              </w:rPr>
              <w:t>U</w:t>
            </w:r>
            <w:r>
              <w:rPr>
                <w:rFonts w:cs="Calibri"/>
              </w:rPr>
              <w:t xml:space="preserve">ser </w:t>
            </w:r>
            <w:r w:rsidRPr="00BE2D09">
              <w:rPr>
                <w:rFonts w:cs="Calibri"/>
              </w:rPr>
              <w:t>Trainin</w:t>
            </w:r>
            <w:r>
              <w:rPr>
                <w:rFonts w:cs="Calibri"/>
              </w:rPr>
              <w:t>g/Knowledge Transfer</w:t>
            </w:r>
          </w:p>
          <w:p w:rsidR="004E0B0B" w:rsidRDefault="004E0B0B" w:rsidP="00417AB3">
            <w:pPr>
              <w:pStyle w:val="ListParagraph"/>
              <w:numPr>
                <w:ilvl w:val="0"/>
                <w:numId w:val="25"/>
              </w:numPr>
              <w:rPr>
                <w:rFonts w:cs="Calibri"/>
              </w:rPr>
            </w:pPr>
            <w:r>
              <w:rPr>
                <w:rFonts w:cs="Calibri"/>
              </w:rPr>
              <w:t xml:space="preserve">User Acceptance </w:t>
            </w:r>
            <w:r w:rsidR="00417AB3">
              <w:rPr>
                <w:rFonts w:cs="Calibri"/>
              </w:rPr>
              <w:t xml:space="preserve">planning, coordination, </w:t>
            </w:r>
            <w:r w:rsidR="007328D8">
              <w:rPr>
                <w:rFonts w:cs="Calibri"/>
              </w:rPr>
              <w:t>t</w:t>
            </w:r>
            <w:r>
              <w:rPr>
                <w:rFonts w:cs="Calibri"/>
              </w:rPr>
              <w:t xml:space="preserve">esting </w:t>
            </w:r>
            <w:r w:rsidR="00417AB3">
              <w:rPr>
                <w:rFonts w:cs="Calibri"/>
              </w:rPr>
              <w:t>(</w:t>
            </w:r>
            <w:r w:rsidR="001F08EB">
              <w:rPr>
                <w:rFonts w:cs="Calibri"/>
              </w:rPr>
              <w:t>e</w:t>
            </w:r>
            <w:r w:rsidR="00417AB3">
              <w:rPr>
                <w:rFonts w:cs="Calibri"/>
              </w:rPr>
              <w:t>nd</w:t>
            </w:r>
            <w:r w:rsidR="001F08EB">
              <w:rPr>
                <w:rFonts w:cs="Calibri"/>
              </w:rPr>
              <w:t>-</w:t>
            </w:r>
            <w:r w:rsidR="00417AB3">
              <w:rPr>
                <w:rFonts w:cs="Calibri"/>
              </w:rPr>
              <w:t>to</w:t>
            </w:r>
            <w:r w:rsidR="001F08EB">
              <w:rPr>
                <w:rFonts w:cs="Calibri"/>
              </w:rPr>
              <w:t>-e</w:t>
            </w:r>
            <w:r w:rsidR="00417AB3">
              <w:rPr>
                <w:rFonts w:cs="Calibri"/>
              </w:rPr>
              <w:t xml:space="preserve">nd integration testing) </w:t>
            </w:r>
            <w:r w:rsidR="001F08EB">
              <w:rPr>
                <w:rFonts w:cs="Calibri"/>
              </w:rPr>
              <w:t xml:space="preserve">and </w:t>
            </w:r>
            <w:r w:rsidR="006230B7">
              <w:rPr>
                <w:rFonts w:cs="Calibri"/>
              </w:rPr>
              <w:t>c</w:t>
            </w:r>
            <w:r w:rsidR="00417AB3">
              <w:rPr>
                <w:rFonts w:cs="Calibri"/>
              </w:rPr>
              <w:t>ourt</w:t>
            </w:r>
            <w:r w:rsidR="00E3697B">
              <w:rPr>
                <w:rFonts w:cs="Calibri"/>
              </w:rPr>
              <w:t xml:space="preserve"> acceptance</w:t>
            </w:r>
          </w:p>
          <w:p w:rsidR="004E0B0B" w:rsidRPr="007415FB" w:rsidRDefault="004E0B0B" w:rsidP="00417AB3">
            <w:pPr>
              <w:pStyle w:val="ListParagraph"/>
              <w:numPr>
                <w:ilvl w:val="0"/>
                <w:numId w:val="25"/>
              </w:numPr>
              <w:rPr>
                <w:rFonts w:cs="Calibri"/>
              </w:rPr>
            </w:pPr>
            <w:r>
              <w:rPr>
                <w:rFonts w:cs="Calibri"/>
              </w:rPr>
              <w:t>Go-Live Support</w:t>
            </w:r>
          </w:p>
          <w:p w:rsidR="004E0B0B" w:rsidRPr="007415FB" w:rsidRDefault="004E0B0B" w:rsidP="00417AB3">
            <w:pPr>
              <w:pStyle w:val="ListParagraph"/>
              <w:numPr>
                <w:ilvl w:val="0"/>
                <w:numId w:val="25"/>
              </w:numPr>
              <w:spacing w:after="120"/>
              <w:rPr>
                <w:rFonts w:cs="Calibri"/>
              </w:rPr>
            </w:pPr>
            <w:r w:rsidRPr="00BE2D09">
              <w:rPr>
                <w:rFonts w:cs="Calibri"/>
              </w:rPr>
              <w:t>Post</w:t>
            </w:r>
            <w:r w:rsidR="007F30C7">
              <w:rPr>
                <w:rFonts w:cs="Calibri"/>
              </w:rPr>
              <w:t>-i</w:t>
            </w:r>
            <w:r w:rsidRPr="00BE2D09">
              <w:rPr>
                <w:rFonts w:cs="Calibri"/>
              </w:rPr>
              <w:t xml:space="preserve">mplementation </w:t>
            </w:r>
            <w:r w:rsidR="001F08EB">
              <w:rPr>
                <w:rFonts w:cs="Calibri"/>
              </w:rPr>
              <w:t>s</w:t>
            </w:r>
            <w:r w:rsidRPr="00BE2D09">
              <w:rPr>
                <w:rFonts w:cs="Calibri"/>
              </w:rPr>
              <w:t xml:space="preserve">upport and </w:t>
            </w:r>
            <w:r w:rsidR="001F08EB">
              <w:rPr>
                <w:rFonts w:cs="Calibri"/>
              </w:rPr>
              <w:t>p</w:t>
            </w:r>
            <w:r w:rsidRPr="00BE2D09">
              <w:rPr>
                <w:rFonts w:cs="Calibri"/>
              </w:rPr>
              <w:t xml:space="preserve">roject </w:t>
            </w:r>
            <w:r w:rsidR="001F08EB">
              <w:rPr>
                <w:rFonts w:cs="Calibri"/>
              </w:rPr>
              <w:t>c</w:t>
            </w:r>
            <w:r w:rsidRPr="00BE2D09">
              <w:rPr>
                <w:rFonts w:cs="Calibri"/>
              </w:rPr>
              <w:t>loseout</w:t>
            </w:r>
          </w:p>
        </w:tc>
      </w:tr>
      <w:tr w:rsidR="004E0B0B" w:rsidRPr="00827A6C" w:rsidTr="00417AB3">
        <w:tc>
          <w:tcPr>
            <w:tcW w:w="2358" w:type="dxa"/>
          </w:tcPr>
          <w:p w:rsidR="004E0B0B" w:rsidRPr="00827A6C" w:rsidRDefault="004E0B0B" w:rsidP="004B3DB3">
            <w:r w:rsidRPr="00827A6C">
              <w:t>Maintenance and Support</w:t>
            </w:r>
          </w:p>
        </w:tc>
        <w:tc>
          <w:tcPr>
            <w:tcW w:w="6462" w:type="dxa"/>
          </w:tcPr>
          <w:p w:rsidR="00AE32FB" w:rsidRDefault="00AE32FB" w:rsidP="00417AB3">
            <w:pPr>
              <w:numPr>
                <w:ilvl w:val="0"/>
                <w:numId w:val="16"/>
              </w:numPr>
            </w:pPr>
            <w:r>
              <w:t xml:space="preserve">Maintenance and support that complies with the </w:t>
            </w:r>
            <w:r w:rsidR="00CB240D">
              <w:t>C</w:t>
            </w:r>
            <w:r>
              <w:t xml:space="preserve">ourt’s </w:t>
            </w:r>
            <w:r w:rsidR="00CB240D">
              <w:t>M</w:t>
            </w:r>
            <w:r>
              <w:t xml:space="preserve">inimum </w:t>
            </w:r>
            <w:r w:rsidR="00CB240D">
              <w:t>T</w:t>
            </w:r>
            <w:r>
              <w:t xml:space="preserve">erms and </w:t>
            </w:r>
            <w:r w:rsidR="00CB240D">
              <w:t>C</w:t>
            </w:r>
            <w:r>
              <w:t xml:space="preserve">onditions </w:t>
            </w:r>
            <w:r w:rsidR="002A3839" w:rsidRPr="002A3839">
              <w:rPr>
                <w:sz w:val="20"/>
              </w:rPr>
              <w:t>(</w:t>
            </w:r>
            <w:r w:rsidR="002A3839" w:rsidRPr="002A3839">
              <w:rPr>
                <w:i/>
                <w:sz w:val="20"/>
              </w:rPr>
              <w:t>Exhibit XX of Attachment 2)</w:t>
            </w:r>
            <w:r>
              <w:t xml:space="preserve"> which shall include but not be limited to:</w:t>
            </w:r>
          </w:p>
          <w:p w:rsidR="00C46E3C" w:rsidRDefault="004E0B0B">
            <w:pPr>
              <w:numPr>
                <w:ilvl w:val="0"/>
                <w:numId w:val="51"/>
              </w:numPr>
            </w:pPr>
            <w:r w:rsidRPr="00827A6C">
              <w:t>Application Software Licensing</w:t>
            </w:r>
          </w:p>
          <w:p w:rsidR="00C46E3C" w:rsidRDefault="004E0B0B">
            <w:pPr>
              <w:numPr>
                <w:ilvl w:val="0"/>
                <w:numId w:val="51"/>
              </w:numPr>
            </w:pPr>
            <w:r>
              <w:t>Application Support and Technical Support for local hosted solution</w:t>
            </w:r>
          </w:p>
          <w:p w:rsidR="00C46E3C" w:rsidRDefault="00BB0E26">
            <w:pPr>
              <w:numPr>
                <w:ilvl w:val="0"/>
                <w:numId w:val="51"/>
              </w:numPr>
            </w:pPr>
            <w:r w:rsidRPr="00827A6C">
              <w:t>End-user and technical support</w:t>
            </w:r>
          </w:p>
          <w:p w:rsidR="00C46E3C" w:rsidRDefault="004E0B0B">
            <w:pPr>
              <w:numPr>
                <w:ilvl w:val="0"/>
                <w:numId w:val="51"/>
              </w:numPr>
            </w:pPr>
            <w:r w:rsidRPr="002E3DA2">
              <w:rPr>
                <w:rFonts w:cs="Calibri"/>
              </w:rPr>
              <w:t>P</w:t>
            </w:r>
            <w:r>
              <w:rPr>
                <w:rFonts w:cs="Calibri"/>
              </w:rPr>
              <w:t>rovi</w:t>
            </w:r>
            <w:r w:rsidR="001F08EB">
              <w:rPr>
                <w:rFonts w:cs="Calibri"/>
              </w:rPr>
              <w:t>sion of</w:t>
            </w:r>
            <w:r>
              <w:rPr>
                <w:rFonts w:cs="Calibri"/>
              </w:rPr>
              <w:t xml:space="preserve"> periodic maintenance, legislative updates, and</w:t>
            </w:r>
            <w:r w:rsidRPr="002E3DA2">
              <w:rPr>
                <w:rFonts w:cs="Calibri"/>
              </w:rPr>
              <w:t xml:space="preserve"> security upgrades per service</w:t>
            </w:r>
            <w:r w:rsidR="001F08EB">
              <w:rPr>
                <w:rFonts w:cs="Calibri"/>
              </w:rPr>
              <w:t>-</w:t>
            </w:r>
            <w:r w:rsidRPr="002E3DA2">
              <w:rPr>
                <w:rFonts w:cs="Calibri"/>
              </w:rPr>
              <w:t>level standards and support agreements</w:t>
            </w:r>
          </w:p>
          <w:p w:rsidR="00C46E3C" w:rsidRDefault="001F08EB">
            <w:pPr>
              <w:numPr>
                <w:ilvl w:val="0"/>
                <w:numId w:val="51"/>
              </w:numPr>
            </w:pPr>
            <w:r>
              <w:rPr>
                <w:rFonts w:cs="Calibri"/>
              </w:rPr>
              <w:t>G</w:t>
            </w:r>
            <w:r w:rsidR="004E0B0B">
              <w:rPr>
                <w:rFonts w:cs="Calibri"/>
              </w:rPr>
              <w:t>lobal configuration changes necessary to support business changes</w:t>
            </w:r>
          </w:p>
          <w:p w:rsidR="00C46E3C" w:rsidRDefault="00D857EC">
            <w:pPr>
              <w:numPr>
                <w:ilvl w:val="0"/>
                <w:numId w:val="51"/>
              </w:numPr>
            </w:pPr>
            <w:r>
              <w:rPr>
                <w:rFonts w:cs="Calibri"/>
              </w:rPr>
              <w:t>Emergency support for break</w:t>
            </w:r>
            <w:r w:rsidR="007328D8">
              <w:rPr>
                <w:rFonts w:cs="Calibri"/>
              </w:rPr>
              <w:t>-</w:t>
            </w:r>
            <w:r>
              <w:rPr>
                <w:rFonts w:cs="Calibri"/>
              </w:rPr>
              <w:t>fix situations</w:t>
            </w:r>
          </w:p>
        </w:tc>
      </w:tr>
      <w:tr w:rsidR="00CF6A93" w:rsidRPr="00827A6C" w:rsidTr="00417AB3">
        <w:tc>
          <w:tcPr>
            <w:tcW w:w="2358" w:type="dxa"/>
          </w:tcPr>
          <w:p w:rsidR="00CF6A93" w:rsidRPr="00827A6C" w:rsidRDefault="00CF6A93" w:rsidP="004B3DB3">
            <w:r>
              <w:t>Warranty</w:t>
            </w:r>
          </w:p>
        </w:tc>
        <w:tc>
          <w:tcPr>
            <w:tcW w:w="6462" w:type="dxa"/>
          </w:tcPr>
          <w:p w:rsidR="00C060B5" w:rsidRDefault="008A6ABE">
            <w:pPr>
              <w:pStyle w:val="ListParagraph"/>
              <w:numPr>
                <w:ilvl w:val="0"/>
                <w:numId w:val="42"/>
              </w:numPr>
              <w:ind w:left="360"/>
              <w:contextualSpacing/>
              <w:rPr>
                <w:b/>
                <w:bCs/>
                <w:i/>
                <w:iCs/>
                <w:sz w:val="28"/>
                <w:szCs w:val="28"/>
              </w:rPr>
            </w:pPr>
            <w:r>
              <w:t xml:space="preserve">Service Warranty that complies with </w:t>
            </w:r>
            <w:r w:rsidR="00CB240D">
              <w:t xml:space="preserve">the </w:t>
            </w:r>
            <w:r>
              <w:t>Court’s Minimum Terms and Conditions</w:t>
            </w:r>
            <w:r w:rsidR="00667B3D">
              <w:t xml:space="preserve"> </w:t>
            </w:r>
            <w:r w:rsidRPr="00667B3D">
              <w:rPr>
                <w:i/>
                <w:sz w:val="20"/>
                <w:szCs w:val="20"/>
              </w:rPr>
              <w:t>(Attachment 2)</w:t>
            </w:r>
          </w:p>
          <w:p w:rsidR="00C060B5" w:rsidRDefault="008A6ABE" w:rsidP="00265B1E">
            <w:pPr>
              <w:pStyle w:val="ListParagraph"/>
              <w:numPr>
                <w:ilvl w:val="0"/>
                <w:numId w:val="42"/>
              </w:numPr>
              <w:ind w:left="360"/>
              <w:contextualSpacing/>
            </w:pPr>
            <w:r>
              <w:t xml:space="preserve">Licensed Software Warranty </w:t>
            </w:r>
            <w:r w:rsidR="002C6A8B">
              <w:t xml:space="preserve">that complies with </w:t>
            </w:r>
            <w:r w:rsidR="00CB240D">
              <w:t xml:space="preserve">the </w:t>
            </w:r>
            <w:r>
              <w:t xml:space="preserve">Court’s Minimum Terms and Conditions </w:t>
            </w:r>
            <w:r w:rsidR="009F321C" w:rsidRPr="009F321C">
              <w:rPr>
                <w:i/>
                <w:sz w:val="20"/>
                <w:szCs w:val="20"/>
              </w:rPr>
              <w:t>(Attachment 2)</w:t>
            </w:r>
          </w:p>
        </w:tc>
      </w:tr>
    </w:tbl>
    <w:p w:rsidR="004E0B0B" w:rsidRDefault="004E0B0B" w:rsidP="004E0B0B">
      <w:pPr>
        <w:ind w:left="720" w:hanging="360"/>
      </w:pPr>
    </w:p>
    <w:p w:rsidR="00651E8D" w:rsidRDefault="00651E8D" w:rsidP="00651E8D">
      <w:pPr>
        <w:keepNext/>
        <w:ind w:left="360"/>
        <w:outlineLvl w:val="1"/>
      </w:pPr>
    </w:p>
    <w:p w:rsidR="00651E8D" w:rsidRPr="008620B5" w:rsidRDefault="00651E8D" w:rsidP="00651E8D">
      <w:pPr>
        <w:keepNext/>
        <w:ind w:left="720"/>
        <w:outlineLvl w:val="1"/>
        <w:rPr>
          <w:b/>
          <w:smallCaps/>
        </w:rPr>
      </w:pPr>
      <w:r w:rsidRPr="00781E82">
        <w:rPr>
          <w:u w:val="single"/>
        </w:rPr>
        <w:t xml:space="preserve">The implementation of CMS </w:t>
      </w:r>
      <w:r w:rsidR="00E17128">
        <w:rPr>
          <w:u w:val="single"/>
        </w:rPr>
        <w:t xml:space="preserve">and DMS </w:t>
      </w:r>
      <w:r w:rsidRPr="00781E82">
        <w:rPr>
          <w:u w:val="single"/>
        </w:rPr>
        <w:t>application</w:t>
      </w:r>
      <w:r w:rsidR="00CB240D">
        <w:rPr>
          <w:u w:val="single"/>
        </w:rPr>
        <w:t>s</w:t>
      </w:r>
      <w:r w:rsidR="00E17128">
        <w:rPr>
          <w:u w:val="single"/>
        </w:rPr>
        <w:t xml:space="preserve"> include</w:t>
      </w:r>
      <w:r w:rsidR="00A30B9C">
        <w:rPr>
          <w:u w:val="single"/>
        </w:rPr>
        <w:t>s</w:t>
      </w:r>
      <w:r w:rsidRPr="00781E82">
        <w:rPr>
          <w:u w:val="single"/>
        </w:rPr>
        <w:t>:</w:t>
      </w:r>
    </w:p>
    <w:p w:rsidR="00651E8D" w:rsidRPr="003531B7" w:rsidRDefault="00651E8D" w:rsidP="00651E8D">
      <w:pPr>
        <w:pStyle w:val="ListParagraph"/>
        <w:numPr>
          <w:ilvl w:val="0"/>
          <w:numId w:val="20"/>
        </w:numPr>
        <w:tabs>
          <w:tab w:val="num" w:pos="1080"/>
        </w:tabs>
        <w:contextualSpacing/>
      </w:pPr>
      <w:r w:rsidRPr="003531B7">
        <w:t>Providing CMS</w:t>
      </w:r>
      <w:r w:rsidR="00D857EC">
        <w:t xml:space="preserve"> and DMS</w:t>
      </w:r>
      <w:r w:rsidRPr="003531B7">
        <w:t xml:space="preserve"> application software that meet</w:t>
      </w:r>
      <w:r w:rsidR="005267C2">
        <w:t xml:space="preserve"> the</w:t>
      </w:r>
      <w:r w:rsidRPr="003531B7">
        <w:t xml:space="preserve"> functional requirements for </w:t>
      </w:r>
      <w:r>
        <w:t>San Luis Obispo Superior Court</w:t>
      </w:r>
      <w:r w:rsidR="0018567A">
        <w:t xml:space="preserve"> (</w:t>
      </w:r>
      <w:r w:rsidR="0018567A" w:rsidRPr="00A012B1">
        <w:rPr>
          <w:i/>
          <w:sz w:val="20"/>
          <w:szCs w:val="20"/>
        </w:rPr>
        <w:t xml:space="preserve">Attachment </w:t>
      </w:r>
      <w:r w:rsidR="0018567A">
        <w:rPr>
          <w:i/>
          <w:sz w:val="20"/>
          <w:szCs w:val="20"/>
        </w:rPr>
        <w:t>7</w:t>
      </w:r>
      <w:r w:rsidR="0018567A">
        <w:t>)</w:t>
      </w:r>
    </w:p>
    <w:p w:rsidR="00651E8D" w:rsidRPr="003531B7" w:rsidRDefault="00651E8D" w:rsidP="00651E8D">
      <w:pPr>
        <w:pStyle w:val="ListParagraph"/>
        <w:numPr>
          <w:ilvl w:val="0"/>
          <w:numId w:val="20"/>
        </w:numPr>
        <w:tabs>
          <w:tab w:val="num" w:pos="1080"/>
        </w:tabs>
        <w:contextualSpacing/>
      </w:pPr>
      <w:r w:rsidRPr="003531B7">
        <w:t>Analyzing trial court operations to effectively use the CMS</w:t>
      </w:r>
      <w:r w:rsidR="00D857EC">
        <w:t xml:space="preserve"> and DMS</w:t>
      </w:r>
      <w:r w:rsidRPr="003531B7">
        <w:t xml:space="preserve"> application</w:t>
      </w:r>
      <w:r w:rsidR="00D857EC">
        <w:t>s</w:t>
      </w:r>
    </w:p>
    <w:p w:rsidR="00651E8D" w:rsidRPr="003531B7" w:rsidRDefault="00651E8D" w:rsidP="00651E8D">
      <w:pPr>
        <w:pStyle w:val="ListParagraph"/>
        <w:numPr>
          <w:ilvl w:val="0"/>
          <w:numId w:val="20"/>
        </w:numPr>
        <w:tabs>
          <w:tab w:val="num" w:pos="1080"/>
        </w:tabs>
        <w:contextualSpacing/>
      </w:pPr>
      <w:r w:rsidRPr="003531B7">
        <w:t xml:space="preserve">Installing, configuring, and testing the CMS </w:t>
      </w:r>
      <w:r w:rsidR="00D857EC">
        <w:t xml:space="preserve">and DMS </w:t>
      </w:r>
      <w:r w:rsidRPr="003531B7">
        <w:t>application</w:t>
      </w:r>
      <w:r w:rsidR="00D857EC">
        <w:t>s</w:t>
      </w:r>
      <w:r>
        <w:t xml:space="preserve"> according to the business rules of the </w:t>
      </w:r>
      <w:r w:rsidR="00D828A8">
        <w:t>C</w:t>
      </w:r>
      <w:r>
        <w:t>ourt</w:t>
      </w:r>
    </w:p>
    <w:p w:rsidR="00651E8D" w:rsidRDefault="00651E8D" w:rsidP="00651E8D">
      <w:pPr>
        <w:pStyle w:val="ListParagraph"/>
        <w:numPr>
          <w:ilvl w:val="0"/>
          <w:numId w:val="20"/>
        </w:numPr>
        <w:tabs>
          <w:tab w:val="num" w:pos="1080"/>
        </w:tabs>
        <w:contextualSpacing/>
      </w:pPr>
      <w:r w:rsidRPr="003531B7">
        <w:t xml:space="preserve">Maintaining the CMS application for changes in regulatory requirements, application enhancements, </w:t>
      </w:r>
      <w:r w:rsidR="00A12F76">
        <w:t xml:space="preserve">common </w:t>
      </w:r>
      <w:r>
        <w:t xml:space="preserve">configuration changes, </w:t>
      </w:r>
      <w:r w:rsidRPr="003531B7">
        <w:t>and fix</w:t>
      </w:r>
      <w:r w:rsidR="00BA04C1">
        <w:t>ing</w:t>
      </w:r>
      <w:r w:rsidRPr="003531B7">
        <w:t xml:space="preserve"> program defects</w:t>
      </w:r>
    </w:p>
    <w:p w:rsidR="00651E8D" w:rsidRDefault="00651E8D" w:rsidP="00651E8D">
      <w:pPr>
        <w:pStyle w:val="ListParagraph"/>
        <w:numPr>
          <w:ilvl w:val="0"/>
          <w:numId w:val="20"/>
        </w:numPr>
        <w:contextualSpacing/>
      </w:pPr>
      <w:r w:rsidRPr="003531B7">
        <w:t>Training technical staff on the administration and support of</w:t>
      </w:r>
      <w:r>
        <w:t xml:space="preserve"> CMS </w:t>
      </w:r>
      <w:r w:rsidR="00E17128">
        <w:t xml:space="preserve">and DMS </w:t>
      </w:r>
      <w:r>
        <w:t>application</w:t>
      </w:r>
      <w:r w:rsidR="00BA04C1">
        <w:t>s</w:t>
      </w:r>
      <w:r>
        <w:t xml:space="preserve"> and the infrastructure </w:t>
      </w:r>
      <w:r w:rsidRPr="003531B7">
        <w:t>equipment</w:t>
      </w:r>
      <w:r>
        <w:t xml:space="preserve"> to ensure reliable service</w:t>
      </w:r>
    </w:p>
    <w:p w:rsidR="00651E8D" w:rsidRPr="003531B7" w:rsidRDefault="00651E8D" w:rsidP="00651E8D">
      <w:pPr>
        <w:pStyle w:val="ListParagraph"/>
        <w:numPr>
          <w:ilvl w:val="0"/>
          <w:numId w:val="20"/>
        </w:numPr>
        <w:contextualSpacing/>
      </w:pPr>
      <w:r>
        <w:t>Cutover and post go-live services</w:t>
      </w:r>
    </w:p>
    <w:p w:rsidR="00013C42" w:rsidRDefault="00013C42" w:rsidP="00013C42">
      <w:pPr>
        <w:pStyle w:val="ListParagraph"/>
        <w:numPr>
          <w:ilvl w:val="0"/>
          <w:numId w:val="20"/>
        </w:numPr>
        <w:tabs>
          <w:tab w:val="num" w:pos="1080"/>
        </w:tabs>
        <w:contextualSpacing/>
      </w:pPr>
      <w:r w:rsidRPr="003531B7">
        <w:t>Working in cooperation with the</w:t>
      </w:r>
      <w:r>
        <w:t xml:space="preserve"> San Luis Obispo Superior</w:t>
      </w:r>
      <w:r w:rsidRPr="003531B7">
        <w:t xml:space="preserve"> </w:t>
      </w:r>
      <w:r>
        <w:t xml:space="preserve">Court, the </w:t>
      </w:r>
      <w:r w:rsidRPr="003531B7">
        <w:t>AOC</w:t>
      </w:r>
      <w:r>
        <w:t xml:space="preserve">, state and local </w:t>
      </w:r>
      <w:r w:rsidR="00811D36">
        <w:t>J</w:t>
      </w:r>
      <w:r>
        <w:t xml:space="preserve">ustice </w:t>
      </w:r>
      <w:r w:rsidR="00811D36">
        <w:t>P</w:t>
      </w:r>
      <w:r>
        <w:t xml:space="preserve">artners and any </w:t>
      </w:r>
      <w:r w:rsidRPr="003531B7">
        <w:t xml:space="preserve">other </w:t>
      </w:r>
      <w:r>
        <w:t>necessary vendors</w:t>
      </w:r>
      <w:r w:rsidR="005112C3">
        <w:t xml:space="preserve"> in order</w:t>
      </w:r>
      <w:r w:rsidRPr="003531B7">
        <w:t xml:space="preserve"> </w:t>
      </w:r>
      <w:r w:rsidR="005112C3">
        <w:t>to make</w:t>
      </w:r>
      <w:r w:rsidRPr="003531B7">
        <w:t xml:space="preserve"> the CMS available in a manner that </w:t>
      </w:r>
      <w:r w:rsidR="005267C2">
        <w:t>ensures</w:t>
      </w:r>
      <w:r w:rsidR="005267C2" w:rsidRPr="003531B7">
        <w:t xml:space="preserve"> </w:t>
      </w:r>
      <w:r w:rsidRPr="003531B7">
        <w:t>a h</w:t>
      </w:r>
      <w:r>
        <w:t>igh quality of service to users</w:t>
      </w:r>
    </w:p>
    <w:p w:rsidR="00651E8D" w:rsidRPr="003531B7" w:rsidRDefault="00651E8D" w:rsidP="00651E8D">
      <w:pPr>
        <w:pStyle w:val="ListParagraph"/>
        <w:ind w:left="1080"/>
        <w:contextualSpacing/>
      </w:pPr>
    </w:p>
    <w:p w:rsidR="00651E8D" w:rsidRPr="00781E82" w:rsidRDefault="00651E8D" w:rsidP="00651E8D">
      <w:pPr>
        <w:ind w:left="738" w:hanging="18"/>
        <w:rPr>
          <w:u w:val="single"/>
        </w:rPr>
      </w:pPr>
      <w:r w:rsidRPr="00FA2354">
        <w:rPr>
          <w:u w:val="single"/>
        </w:rPr>
        <w:t xml:space="preserve"> </w:t>
      </w:r>
      <w:r w:rsidRPr="00781E82">
        <w:rPr>
          <w:u w:val="single"/>
        </w:rPr>
        <w:t xml:space="preserve">The </w:t>
      </w:r>
      <w:r>
        <w:rPr>
          <w:u w:val="single"/>
        </w:rPr>
        <w:t>recommendation for</w:t>
      </w:r>
      <w:r w:rsidRPr="00781E82">
        <w:rPr>
          <w:u w:val="single"/>
        </w:rPr>
        <w:t xml:space="preserve"> a trial court network infrastructure includes:</w:t>
      </w:r>
    </w:p>
    <w:p w:rsidR="00651E8D" w:rsidRDefault="008651EB" w:rsidP="00651E8D">
      <w:pPr>
        <w:pStyle w:val="ListParagraph"/>
        <w:numPr>
          <w:ilvl w:val="0"/>
          <w:numId w:val="34"/>
        </w:numPr>
        <w:contextualSpacing/>
      </w:pPr>
      <w:r>
        <w:t>Desktop a</w:t>
      </w:r>
      <w:r w:rsidR="00651E8D">
        <w:t xml:space="preserve">ssessment </w:t>
      </w:r>
      <w:r>
        <w:t xml:space="preserve">with hardware and software </w:t>
      </w:r>
      <w:r w:rsidR="00651E8D">
        <w:t>recommendations</w:t>
      </w:r>
    </w:p>
    <w:p w:rsidR="00651E8D" w:rsidRDefault="00651E8D" w:rsidP="00651E8D">
      <w:pPr>
        <w:pStyle w:val="ListParagraph"/>
        <w:numPr>
          <w:ilvl w:val="0"/>
          <w:numId w:val="34"/>
        </w:numPr>
        <w:contextualSpacing/>
      </w:pPr>
      <w:r>
        <w:t xml:space="preserve">Network </w:t>
      </w:r>
      <w:r w:rsidR="001078BB">
        <w:t>a</w:t>
      </w:r>
      <w:r>
        <w:t xml:space="preserve">ssessment </w:t>
      </w:r>
      <w:r w:rsidR="00811D36">
        <w:t>and</w:t>
      </w:r>
      <w:r>
        <w:t xml:space="preserve"> </w:t>
      </w:r>
      <w:r w:rsidR="001078BB">
        <w:t>d</w:t>
      </w:r>
      <w:r>
        <w:t xml:space="preserve">esign </w:t>
      </w:r>
      <w:r w:rsidR="001078BB">
        <w:t>s</w:t>
      </w:r>
      <w:r>
        <w:t>pecifications</w:t>
      </w:r>
    </w:p>
    <w:p w:rsidR="00651E8D" w:rsidRDefault="00651E8D" w:rsidP="00651E8D">
      <w:pPr>
        <w:pStyle w:val="ListParagraph"/>
        <w:numPr>
          <w:ilvl w:val="0"/>
          <w:numId w:val="34"/>
        </w:numPr>
        <w:contextualSpacing/>
      </w:pPr>
      <w:r>
        <w:t xml:space="preserve">Server </w:t>
      </w:r>
      <w:r w:rsidR="001078BB">
        <w:t>s</w:t>
      </w:r>
      <w:r>
        <w:t>pecifications and design</w:t>
      </w:r>
      <w:r w:rsidR="00811D36">
        <w:t>,</w:t>
      </w:r>
      <w:r>
        <w:t xml:space="preserve"> </w:t>
      </w:r>
      <w:r w:rsidR="00D857EC">
        <w:t xml:space="preserve">with build instructions providing technical expertise to </w:t>
      </w:r>
      <w:r w:rsidR="006230B7">
        <w:t>the C</w:t>
      </w:r>
      <w:r w:rsidR="00D857EC">
        <w:t>ourt</w:t>
      </w:r>
      <w:r w:rsidR="006230B7">
        <w:t>’s</w:t>
      </w:r>
      <w:r w:rsidR="00D857EC">
        <w:t xml:space="preserve"> IT </w:t>
      </w:r>
      <w:r>
        <w:t>for the CMS</w:t>
      </w:r>
      <w:r w:rsidR="005267C2">
        <w:t>/</w:t>
      </w:r>
      <w:r>
        <w:t>DMS solution</w:t>
      </w:r>
    </w:p>
    <w:p w:rsidR="00651E8D" w:rsidRDefault="00651E8D" w:rsidP="00651E8D">
      <w:pPr>
        <w:pStyle w:val="ListParagraph"/>
        <w:numPr>
          <w:ilvl w:val="0"/>
          <w:numId w:val="19"/>
        </w:numPr>
        <w:contextualSpacing/>
      </w:pPr>
      <w:r>
        <w:t xml:space="preserve">Integration support for </w:t>
      </w:r>
      <w:r w:rsidRPr="003531B7">
        <w:t>the network infrastructure to function with the CMS</w:t>
      </w:r>
      <w:r w:rsidR="00D857EC">
        <w:t xml:space="preserve"> and DMS</w:t>
      </w:r>
    </w:p>
    <w:p w:rsidR="00651E8D" w:rsidRPr="0012446C" w:rsidRDefault="00651E8D" w:rsidP="00651E8D">
      <w:pPr>
        <w:pStyle w:val="ListParagraph"/>
        <w:numPr>
          <w:ilvl w:val="0"/>
          <w:numId w:val="19"/>
        </w:numPr>
        <w:contextualSpacing/>
      </w:pPr>
      <w:r>
        <w:t xml:space="preserve">Data Integration support ensuring connectivity </w:t>
      </w:r>
      <w:r w:rsidRPr="0012446C">
        <w:t xml:space="preserve">for all required </w:t>
      </w:r>
      <w:r w:rsidR="00811D36">
        <w:t>s</w:t>
      </w:r>
      <w:r w:rsidRPr="0012446C">
        <w:t xml:space="preserve">tate and </w:t>
      </w:r>
      <w:r w:rsidR="00811D36">
        <w:t>l</w:t>
      </w:r>
      <w:r w:rsidRPr="0012446C">
        <w:t>ocal Justice Partners</w:t>
      </w:r>
      <w:r w:rsidR="001078BB">
        <w:t>.</w:t>
      </w:r>
    </w:p>
    <w:p w:rsidR="00651E8D" w:rsidRPr="003531B7" w:rsidRDefault="00651E8D" w:rsidP="00651E8D">
      <w:pPr>
        <w:pStyle w:val="ListParagraph"/>
        <w:ind w:left="1152"/>
      </w:pPr>
    </w:p>
    <w:p w:rsidR="00651E8D" w:rsidRPr="00781E82" w:rsidRDefault="00651E8D" w:rsidP="00651E8D">
      <w:pPr>
        <w:ind w:left="720"/>
        <w:rPr>
          <w:u w:val="single"/>
        </w:rPr>
      </w:pPr>
      <w:r>
        <w:rPr>
          <w:u w:val="single"/>
        </w:rPr>
        <w:t xml:space="preserve">Local Hosting Solution </w:t>
      </w:r>
      <w:r w:rsidR="001078BB">
        <w:rPr>
          <w:u w:val="single"/>
        </w:rPr>
        <w:t>i</w:t>
      </w:r>
      <w:r>
        <w:rPr>
          <w:u w:val="single"/>
        </w:rPr>
        <w:t>ncludes</w:t>
      </w:r>
      <w:r w:rsidRPr="00781E82">
        <w:rPr>
          <w:u w:val="single"/>
        </w:rPr>
        <w:t>:</w:t>
      </w:r>
    </w:p>
    <w:p w:rsidR="00651E8D" w:rsidRDefault="00651E8D" w:rsidP="00651E8D">
      <w:pPr>
        <w:pStyle w:val="ListParagraph"/>
        <w:numPr>
          <w:ilvl w:val="0"/>
          <w:numId w:val="18"/>
        </w:numPr>
        <w:contextualSpacing/>
      </w:pPr>
      <w:r w:rsidRPr="003531B7">
        <w:t xml:space="preserve">Providing the </w:t>
      </w:r>
      <w:r>
        <w:t>design</w:t>
      </w:r>
      <w:r w:rsidR="00D857EC">
        <w:t xml:space="preserve"> specifications and acquisition details for</w:t>
      </w:r>
      <w:r>
        <w:t xml:space="preserve"> locally host</w:t>
      </w:r>
      <w:r w:rsidR="00D857EC">
        <w:t>ed</w:t>
      </w:r>
      <w:r>
        <w:t xml:space="preserve"> CMS and DMS application</w:t>
      </w:r>
      <w:r w:rsidR="00E61ECB">
        <w:t>s</w:t>
      </w:r>
      <w:r w:rsidR="005267C2">
        <w:t>, i</w:t>
      </w:r>
      <w:r w:rsidR="00D857EC">
        <w:t>nclud</w:t>
      </w:r>
      <w:r w:rsidR="005267C2">
        <w:t>ing</w:t>
      </w:r>
      <w:r w:rsidR="00D857EC">
        <w:t xml:space="preserve"> </w:t>
      </w:r>
      <w:r w:rsidR="00E63928">
        <w:t>p</w:t>
      </w:r>
      <w:r>
        <w:t xml:space="preserve">roduction and </w:t>
      </w:r>
      <w:r w:rsidR="00E63928">
        <w:t>n</w:t>
      </w:r>
      <w:r>
        <w:t>on-</w:t>
      </w:r>
      <w:r w:rsidR="00E63928">
        <w:t>p</w:t>
      </w:r>
      <w:r>
        <w:t>roductio</w:t>
      </w:r>
      <w:r w:rsidR="00E63928">
        <w:t>n</w:t>
      </w:r>
      <w:r>
        <w:t xml:space="preserve"> </w:t>
      </w:r>
      <w:r w:rsidRPr="003531B7">
        <w:t>environment</w:t>
      </w:r>
      <w:r w:rsidR="00946786">
        <w:t>s</w:t>
      </w:r>
      <w:r>
        <w:t xml:space="preserve"> to </w:t>
      </w:r>
      <w:r w:rsidRPr="003531B7">
        <w:t xml:space="preserve">run the CMS </w:t>
      </w:r>
      <w:r>
        <w:t xml:space="preserve">and </w:t>
      </w:r>
      <w:r w:rsidR="00E61ECB">
        <w:t xml:space="preserve">to </w:t>
      </w:r>
      <w:r>
        <w:t xml:space="preserve">support DMS </w:t>
      </w:r>
      <w:r w:rsidRPr="003531B7">
        <w:t>application</w:t>
      </w:r>
      <w:r>
        <w:t>s</w:t>
      </w:r>
      <w:r w:rsidR="005267C2">
        <w:t>,</w:t>
      </w:r>
      <w:r w:rsidRPr="003531B7">
        <w:t xml:space="preserve"> </w:t>
      </w:r>
      <w:r>
        <w:t xml:space="preserve">using </w:t>
      </w:r>
      <w:r w:rsidR="00D857EC">
        <w:t>modern proven</w:t>
      </w:r>
      <w:r w:rsidR="00EC55AC">
        <w:t xml:space="preserve"> technology</w:t>
      </w:r>
      <w:r w:rsidR="005E223D">
        <w:t xml:space="preserve"> that is</w:t>
      </w:r>
      <w:r w:rsidR="00E63928">
        <w:t xml:space="preserve"> in compliance with the infrastructure requirements </w:t>
      </w:r>
      <w:r w:rsidR="006E5EA6">
        <w:t>(</w:t>
      </w:r>
      <w:r w:rsidR="002A3839" w:rsidRPr="002A3839">
        <w:rPr>
          <w:i/>
          <w:sz w:val="20"/>
        </w:rPr>
        <w:t xml:space="preserve">Attachment </w:t>
      </w:r>
      <w:r w:rsidR="0072371D" w:rsidRPr="009045C0">
        <w:rPr>
          <w:i/>
          <w:sz w:val="20"/>
          <w:szCs w:val="20"/>
        </w:rPr>
        <w:t>1</w:t>
      </w:r>
      <w:r w:rsidR="00A73A8B">
        <w:rPr>
          <w:i/>
          <w:sz w:val="20"/>
          <w:szCs w:val="20"/>
        </w:rPr>
        <w:t>3</w:t>
      </w:r>
      <w:r w:rsidR="006E5EA6">
        <w:t>)</w:t>
      </w:r>
    </w:p>
    <w:p w:rsidR="00651E8D" w:rsidRDefault="00651E8D" w:rsidP="00651E8D">
      <w:pPr>
        <w:pStyle w:val="ListParagraph"/>
        <w:numPr>
          <w:ilvl w:val="0"/>
          <w:numId w:val="18"/>
        </w:numPr>
        <w:contextualSpacing/>
      </w:pPr>
      <w:r w:rsidRPr="003531B7">
        <w:t xml:space="preserve">Providing </w:t>
      </w:r>
      <w:r w:rsidR="00946786">
        <w:t xml:space="preserve">a network </w:t>
      </w:r>
      <w:r>
        <w:t xml:space="preserve">assessment </w:t>
      </w:r>
      <w:r w:rsidR="00946786">
        <w:t xml:space="preserve">with recommendations to adequately handle  anticipated networking loads and access for the </w:t>
      </w:r>
      <w:r>
        <w:t>CMS</w:t>
      </w:r>
      <w:r w:rsidR="005267C2">
        <w:t>/</w:t>
      </w:r>
      <w:r w:rsidR="00D857EC">
        <w:t>DMS</w:t>
      </w:r>
      <w:r>
        <w:t xml:space="preserve"> </w:t>
      </w:r>
      <w:r w:rsidR="00946786">
        <w:t>proposed solution</w:t>
      </w:r>
    </w:p>
    <w:p w:rsidR="00651E8D" w:rsidRDefault="00651E8D" w:rsidP="00651E8D">
      <w:pPr>
        <w:pStyle w:val="ListParagraph"/>
        <w:numPr>
          <w:ilvl w:val="0"/>
          <w:numId w:val="18"/>
        </w:numPr>
        <w:contextualSpacing/>
      </w:pPr>
      <w:r>
        <w:t>Providing a desktop workstation assessment and providing the necessary software</w:t>
      </w:r>
      <w:r w:rsidR="00EC55AC">
        <w:t>, hardware</w:t>
      </w:r>
      <w:r>
        <w:t xml:space="preserve"> and</w:t>
      </w:r>
      <w:r w:rsidRPr="003531B7">
        <w:t xml:space="preserve"> operating system</w:t>
      </w:r>
      <w:r w:rsidR="006230B7">
        <w:t xml:space="preserve"> requirements for the C</w:t>
      </w:r>
      <w:r>
        <w:t>ourt</w:t>
      </w:r>
      <w:r w:rsidR="006230B7">
        <w:t>’s</w:t>
      </w:r>
      <w:r>
        <w:t xml:space="preserve"> desktop images</w:t>
      </w:r>
    </w:p>
    <w:p w:rsidR="00651E8D" w:rsidRDefault="00651E8D" w:rsidP="00651E8D">
      <w:pPr>
        <w:pStyle w:val="ListParagraph"/>
        <w:numPr>
          <w:ilvl w:val="0"/>
          <w:numId w:val="18"/>
        </w:numPr>
        <w:contextualSpacing/>
      </w:pPr>
      <w:r w:rsidRPr="003531B7">
        <w:t xml:space="preserve">Integrating the </w:t>
      </w:r>
      <w:r>
        <w:t>CMS and DMS</w:t>
      </w:r>
      <w:r w:rsidRPr="003531B7">
        <w:t xml:space="preserve"> servers and network servers with the network infrastructure and desktop workstations</w:t>
      </w:r>
    </w:p>
    <w:p w:rsidR="00E63928" w:rsidRDefault="00E63928" w:rsidP="00E63928">
      <w:pPr>
        <w:pStyle w:val="ListParagraph"/>
        <w:numPr>
          <w:ilvl w:val="0"/>
          <w:numId w:val="18"/>
        </w:numPr>
        <w:contextualSpacing/>
      </w:pPr>
      <w:r w:rsidRPr="003531B7">
        <w:t>Working in cooperation with the</w:t>
      </w:r>
      <w:r>
        <w:t xml:space="preserve"> San Luis Obispo Superior</w:t>
      </w:r>
      <w:r w:rsidRPr="003531B7">
        <w:t xml:space="preserve"> </w:t>
      </w:r>
      <w:r>
        <w:t xml:space="preserve">Court, the </w:t>
      </w:r>
      <w:r w:rsidRPr="003531B7">
        <w:t>AOC</w:t>
      </w:r>
      <w:r>
        <w:t xml:space="preserve">, state and local </w:t>
      </w:r>
      <w:r w:rsidR="00743405">
        <w:t>J</w:t>
      </w:r>
      <w:r>
        <w:t xml:space="preserve">ustice </w:t>
      </w:r>
      <w:r w:rsidR="00743405">
        <w:t>P</w:t>
      </w:r>
      <w:r>
        <w:t xml:space="preserve">artners and any </w:t>
      </w:r>
      <w:r w:rsidRPr="003531B7">
        <w:t xml:space="preserve">other </w:t>
      </w:r>
      <w:r>
        <w:t>necessary vendors,</w:t>
      </w:r>
      <w:r w:rsidRPr="003531B7">
        <w:t xml:space="preserve"> in making the CMS available in a manner that assures a h</w:t>
      </w:r>
      <w:r>
        <w:t>igh quality of service to users.</w:t>
      </w:r>
    </w:p>
    <w:p w:rsidR="00E63928" w:rsidRDefault="00651E8D" w:rsidP="00651E8D">
      <w:pPr>
        <w:pStyle w:val="ListParagraph"/>
        <w:numPr>
          <w:ilvl w:val="0"/>
          <w:numId w:val="18"/>
        </w:numPr>
        <w:contextualSpacing/>
      </w:pPr>
      <w:r>
        <w:t>Document Management Services</w:t>
      </w:r>
      <w:r w:rsidR="001078BB">
        <w:t xml:space="preserve"> including</w:t>
      </w:r>
      <w:r w:rsidR="00E63928">
        <w:t xml:space="preserve"> any additional </w:t>
      </w:r>
      <w:r>
        <w:t xml:space="preserve">hardware and </w:t>
      </w:r>
      <w:r w:rsidR="00E63928">
        <w:t xml:space="preserve">third party </w:t>
      </w:r>
      <w:r>
        <w:t>software recommendations</w:t>
      </w:r>
    </w:p>
    <w:p w:rsidR="00651E8D" w:rsidRDefault="00E63928" w:rsidP="00651E8D">
      <w:pPr>
        <w:pStyle w:val="ListParagraph"/>
        <w:numPr>
          <w:ilvl w:val="0"/>
          <w:numId w:val="18"/>
        </w:numPr>
        <w:contextualSpacing/>
      </w:pPr>
      <w:r>
        <w:t xml:space="preserve">Providing </w:t>
      </w:r>
      <w:r w:rsidR="00651E8D">
        <w:t>CMS and DMS configurations</w:t>
      </w:r>
    </w:p>
    <w:p w:rsidR="00C219B5" w:rsidRDefault="00C219B5" w:rsidP="00651E8D">
      <w:pPr>
        <w:pStyle w:val="ListParagraph"/>
        <w:numPr>
          <w:ilvl w:val="0"/>
          <w:numId w:val="18"/>
        </w:numPr>
        <w:contextualSpacing/>
      </w:pPr>
      <w:r>
        <w:t>Assisting in DMS scanners setup, configuration</w:t>
      </w:r>
      <w:r w:rsidR="00D703EE">
        <w:t>, training,</w:t>
      </w:r>
      <w:r>
        <w:t xml:space="preserve"> and business use</w:t>
      </w:r>
    </w:p>
    <w:p w:rsidR="00C060B5" w:rsidRDefault="00C060B5"/>
    <w:p w:rsidR="00F67398" w:rsidRPr="00F67398" w:rsidRDefault="00C0175A" w:rsidP="00C0175A">
      <w:pPr>
        <w:pStyle w:val="ListParagraph"/>
        <w:numPr>
          <w:ilvl w:val="1"/>
          <w:numId w:val="48"/>
        </w:numPr>
      </w:pPr>
      <w:r w:rsidRPr="00C0175A">
        <w:rPr>
          <w:b/>
          <w:u w:val="single"/>
        </w:rPr>
        <w:t xml:space="preserve">Deployment Services </w:t>
      </w:r>
    </w:p>
    <w:p w:rsidR="00C060B5" w:rsidRDefault="00D703EE">
      <w:pPr>
        <w:pStyle w:val="ListParagraph"/>
        <w:ind w:left="1080"/>
      </w:pPr>
      <w:r>
        <w:t>It is the aim of the C</w:t>
      </w:r>
      <w:r w:rsidR="00C0175A">
        <w:t>ourt</w:t>
      </w:r>
      <w:r w:rsidR="00C0175A" w:rsidRPr="00F3619D">
        <w:t xml:space="preserve"> to appoint an experienced vendor capable of executing an efficient project within the </w:t>
      </w:r>
      <w:r w:rsidR="00C0175A">
        <w:t>agreed</w:t>
      </w:r>
      <w:r w:rsidR="007F71EA">
        <w:t>-upon</w:t>
      </w:r>
      <w:r w:rsidR="00C0175A">
        <w:t xml:space="preserve"> schedule and budget</w:t>
      </w:r>
      <w:r w:rsidR="00C0175A" w:rsidRPr="00F3619D">
        <w:t>. Based on th</w:t>
      </w:r>
      <w:r w:rsidR="00C0175A">
        <w:t>e goals detailed in section 2.2</w:t>
      </w:r>
      <w:r w:rsidR="00935042">
        <w:t xml:space="preserve">, </w:t>
      </w:r>
      <w:r w:rsidR="00C0175A" w:rsidRPr="00F3619D">
        <w:t>prepare a deployment approach and implementation plan that will meet the high-level tasks for this project.</w:t>
      </w:r>
      <w:r w:rsidR="00C0175A">
        <w:t xml:space="preserve"> The deployment approach should include resource loading necessary for implementation activities. Deployment Services proposals should consult the following project management, solution design and implementation planning suggestions.</w:t>
      </w:r>
    </w:p>
    <w:p w:rsidR="00C0175A" w:rsidRDefault="00C0175A" w:rsidP="00C0175A">
      <w:pPr>
        <w:ind w:left="720"/>
      </w:pPr>
    </w:p>
    <w:p w:rsidR="00C0175A" w:rsidRDefault="00C0175A" w:rsidP="00C0175A">
      <w:pPr>
        <w:ind w:left="864"/>
      </w:pPr>
      <w:r>
        <w:t>2.4.1 Deployment Approach:</w:t>
      </w:r>
    </w:p>
    <w:p w:rsidR="00C0175A" w:rsidRDefault="00C0175A" w:rsidP="00C0175A">
      <w:pPr>
        <w:pStyle w:val="ListParagraph"/>
        <w:ind w:left="1224"/>
      </w:pPr>
    </w:p>
    <w:p w:rsidR="00C0175A" w:rsidRDefault="00C0175A" w:rsidP="00C0175A">
      <w:pPr>
        <w:pStyle w:val="ListParagraph"/>
        <w:numPr>
          <w:ilvl w:val="0"/>
          <w:numId w:val="26"/>
        </w:numPr>
        <w:ind w:left="1296"/>
      </w:pPr>
      <w:r w:rsidRPr="00892269">
        <w:rPr>
          <w:u w:val="single"/>
        </w:rPr>
        <w:t>Project Management</w:t>
      </w:r>
    </w:p>
    <w:p w:rsidR="00C0175A" w:rsidRDefault="00C0175A" w:rsidP="00C0175A">
      <w:pPr>
        <w:pStyle w:val="ListParagraph"/>
        <w:ind w:left="1296"/>
      </w:pPr>
      <w:r>
        <w:t xml:space="preserve">The vendor will develop a comprehensive project management plan. The proposed plan will be used to track and control project progress as well as </w:t>
      </w:r>
      <w:r w:rsidRPr="00F3619D">
        <w:t>provide weekly updates</w:t>
      </w:r>
      <w:r>
        <w:t>. Additional project management tasks</w:t>
      </w:r>
      <w:r w:rsidR="00D703EE">
        <w:t xml:space="preserve"> will</w:t>
      </w:r>
      <w:r>
        <w:t xml:space="preserve"> include</w:t>
      </w:r>
      <w:r w:rsidR="00D703EE">
        <w:t xml:space="preserve"> but may not be limited to</w:t>
      </w:r>
      <w:r>
        <w:t xml:space="preserve">:  </w:t>
      </w:r>
    </w:p>
    <w:p w:rsidR="00C0175A" w:rsidRDefault="00C0175A" w:rsidP="00C0175A">
      <w:pPr>
        <w:pStyle w:val="ListParagraph"/>
        <w:numPr>
          <w:ilvl w:val="0"/>
          <w:numId w:val="27"/>
        </w:numPr>
        <w:ind w:left="1656"/>
      </w:pPr>
      <w:r>
        <w:t>Scheduling project kick-off and project status meetings</w:t>
      </w:r>
    </w:p>
    <w:p w:rsidR="00C0175A" w:rsidRDefault="00C0175A" w:rsidP="00C0175A">
      <w:pPr>
        <w:pStyle w:val="ListParagraph"/>
        <w:numPr>
          <w:ilvl w:val="0"/>
          <w:numId w:val="27"/>
        </w:numPr>
        <w:ind w:left="1656"/>
      </w:pPr>
      <w:r>
        <w:t>Developing and presenting a project plan and schedule</w:t>
      </w:r>
      <w:r w:rsidR="007F71EA">
        <w:t>,</w:t>
      </w:r>
      <w:r>
        <w:t xml:space="preserve"> and updating as necessary</w:t>
      </w:r>
    </w:p>
    <w:p w:rsidR="00C0175A" w:rsidRDefault="00C0175A" w:rsidP="00C0175A">
      <w:pPr>
        <w:pStyle w:val="ListParagraph"/>
        <w:numPr>
          <w:ilvl w:val="0"/>
          <w:numId w:val="27"/>
        </w:numPr>
        <w:ind w:left="1656"/>
      </w:pPr>
      <w:r>
        <w:t xml:space="preserve">Managing, monitoring and controlling project activities and progress </w:t>
      </w:r>
    </w:p>
    <w:p w:rsidR="00C0175A" w:rsidRPr="00DA11A8" w:rsidRDefault="007F71EA" w:rsidP="00C0175A">
      <w:pPr>
        <w:pStyle w:val="ListParagraph"/>
        <w:numPr>
          <w:ilvl w:val="0"/>
          <w:numId w:val="27"/>
        </w:numPr>
        <w:ind w:left="1656"/>
      </w:pPr>
      <w:r>
        <w:t>B</w:t>
      </w:r>
      <w:r w:rsidR="00C0175A" w:rsidRPr="00DA11A8">
        <w:t>reak</w:t>
      </w:r>
      <w:r>
        <w:t xml:space="preserve">ing </w:t>
      </w:r>
      <w:r w:rsidR="00C0175A" w:rsidRPr="00DA11A8">
        <w:t xml:space="preserve">down </w:t>
      </w:r>
      <w:r>
        <w:t xml:space="preserve">work </w:t>
      </w:r>
      <w:r w:rsidR="00C0175A" w:rsidRPr="00DA11A8">
        <w:t>by resources</w:t>
      </w:r>
    </w:p>
    <w:p w:rsidR="00C0175A" w:rsidRPr="00DA11A8" w:rsidRDefault="00C0175A" w:rsidP="00C0175A">
      <w:pPr>
        <w:pStyle w:val="ListParagraph"/>
        <w:numPr>
          <w:ilvl w:val="0"/>
          <w:numId w:val="27"/>
        </w:numPr>
        <w:ind w:left="1656"/>
      </w:pPr>
      <w:r w:rsidRPr="00DA11A8">
        <w:t xml:space="preserve">Resource Plan </w:t>
      </w:r>
      <w:r w:rsidR="0019568B">
        <w:t>l</w:t>
      </w:r>
      <w:r w:rsidRPr="00DA11A8">
        <w:t>oading</w:t>
      </w:r>
    </w:p>
    <w:p w:rsidR="00D023CB" w:rsidRDefault="007F71EA" w:rsidP="00D023CB">
      <w:pPr>
        <w:pStyle w:val="ListParagraph"/>
        <w:numPr>
          <w:ilvl w:val="0"/>
          <w:numId w:val="27"/>
        </w:numPr>
        <w:ind w:left="1656"/>
      </w:pPr>
      <w:r>
        <w:t>Use of p</w:t>
      </w:r>
      <w:r w:rsidR="00C0175A" w:rsidRPr="00DA11A8">
        <w:t xml:space="preserve">roject </w:t>
      </w:r>
      <w:r>
        <w:t>m</w:t>
      </w:r>
      <w:r w:rsidR="00C0175A" w:rsidRPr="00DA11A8">
        <w:t xml:space="preserve">anagement </w:t>
      </w:r>
      <w:r>
        <w:t>t</w:t>
      </w:r>
      <w:r w:rsidR="00C0175A" w:rsidRPr="00DA11A8">
        <w:t>ools</w:t>
      </w:r>
    </w:p>
    <w:p w:rsidR="00D023CB" w:rsidRDefault="00D023CB" w:rsidP="00D023CB">
      <w:pPr>
        <w:pStyle w:val="ListParagraph"/>
        <w:numPr>
          <w:ilvl w:val="0"/>
          <w:numId w:val="27"/>
        </w:numPr>
        <w:ind w:left="1656"/>
      </w:pPr>
      <w:r>
        <w:t>Use of</w:t>
      </w:r>
      <w:r w:rsidR="00C0175A">
        <w:t xml:space="preserve"> project change request</w:t>
      </w:r>
      <w:r w:rsidR="007F71EA">
        <w:t>s</w:t>
      </w:r>
      <w:r w:rsidR="00C0175A">
        <w:t>, issue and risk documentation</w:t>
      </w:r>
      <w:r w:rsidR="007F71EA">
        <w:t>,</w:t>
      </w:r>
      <w:r w:rsidR="00C0175A">
        <w:t xml:space="preserve"> and status reporting </w:t>
      </w:r>
      <w:r w:rsidR="007F71EA">
        <w:t xml:space="preserve">in order </w:t>
      </w:r>
      <w:r w:rsidR="00C0175A">
        <w:t>to track the project</w:t>
      </w:r>
    </w:p>
    <w:p w:rsidR="00C0175A" w:rsidRDefault="00D023CB" w:rsidP="00D023CB">
      <w:pPr>
        <w:pStyle w:val="ListParagraph"/>
        <w:numPr>
          <w:ilvl w:val="0"/>
          <w:numId w:val="27"/>
        </w:numPr>
        <w:ind w:left="1656"/>
      </w:pPr>
      <w:r>
        <w:t>Preparing and distributing</w:t>
      </w:r>
      <w:r w:rsidR="00C0175A">
        <w:t xml:space="preserve"> weekly status reports to designated stakeholders</w:t>
      </w:r>
    </w:p>
    <w:p w:rsidR="00C0175A" w:rsidRDefault="00C0175A" w:rsidP="00C0175A">
      <w:pPr>
        <w:ind w:left="936"/>
      </w:pPr>
    </w:p>
    <w:p w:rsidR="00C0175A" w:rsidRDefault="00A012B1" w:rsidP="00C0175A">
      <w:pPr>
        <w:pStyle w:val="ListParagraph"/>
        <w:numPr>
          <w:ilvl w:val="0"/>
          <w:numId w:val="28"/>
        </w:numPr>
        <w:ind w:left="1296"/>
      </w:pPr>
      <w:r>
        <w:rPr>
          <w:u w:val="single"/>
        </w:rPr>
        <w:t>CMS</w:t>
      </w:r>
      <w:r w:rsidR="00C0175A" w:rsidRPr="00892269">
        <w:rPr>
          <w:u w:val="single"/>
        </w:rPr>
        <w:t xml:space="preserve"> Environment</w:t>
      </w:r>
      <w:r w:rsidR="0019568B">
        <w:rPr>
          <w:u w:val="single"/>
        </w:rPr>
        <w:t>s</w:t>
      </w:r>
      <w:r w:rsidR="00C0175A" w:rsidRPr="00892269">
        <w:rPr>
          <w:u w:val="single"/>
        </w:rPr>
        <w:t xml:space="preserve"> Design</w:t>
      </w:r>
    </w:p>
    <w:p w:rsidR="00C0175A" w:rsidRDefault="00C0175A" w:rsidP="00C0175A">
      <w:pPr>
        <w:pStyle w:val="ListParagraph"/>
        <w:ind w:left="1296"/>
      </w:pPr>
      <w:r>
        <w:rPr>
          <w:rFonts w:cs="Calibri"/>
        </w:rPr>
        <w:t>Vendor</w:t>
      </w:r>
      <w:r w:rsidRPr="00892269">
        <w:rPr>
          <w:rFonts w:cs="Calibri"/>
        </w:rPr>
        <w:t xml:space="preserve"> will provide a formal design</w:t>
      </w:r>
      <w:r>
        <w:rPr>
          <w:rFonts w:cs="Calibri"/>
        </w:rPr>
        <w:t xml:space="preserve">, acquisition inventory list, and build instruction </w:t>
      </w:r>
      <w:r w:rsidRPr="00892269">
        <w:rPr>
          <w:rFonts w:cs="Calibri"/>
        </w:rPr>
        <w:t xml:space="preserve">of what will become the </w:t>
      </w:r>
      <w:r>
        <w:rPr>
          <w:rFonts w:cs="Calibri"/>
        </w:rPr>
        <w:t xml:space="preserve">CMS/DMS </w:t>
      </w:r>
      <w:r w:rsidRPr="00892269">
        <w:rPr>
          <w:rFonts w:cs="Calibri"/>
        </w:rPr>
        <w:t>solution implementation environment.</w:t>
      </w:r>
      <w:r>
        <w:rPr>
          <w:rFonts w:cs="Calibri"/>
        </w:rPr>
        <w:t xml:space="preserve"> </w:t>
      </w:r>
      <w:r>
        <w:t xml:space="preserve">When describing </w:t>
      </w:r>
      <w:r w:rsidR="007F71EA">
        <w:t xml:space="preserve">your </w:t>
      </w:r>
      <w:r>
        <w:t xml:space="preserve">approach to designing the solution environment keep in mind that </w:t>
      </w:r>
      <w:r>
        <w:rPr>
          <w:rFonts w:cs="Calibri"/>
        </w:rPr>
        <w:t>t</w:t>
      </w:r>
      <w:r w:rsidRPr="00892269">
        <w:rPr>
          <w:rFonts w:cs="Calibri"/>
        </w:rPr>
        <w:t xml:space="preserve">he Court and </w:t>
      </w:r>
      <w:r>
        <w:rPr>
          <w:rFonts w:cs="Calibri"/>
        </w:rPr>
        <w:t>vendor</w:t>
      </w:r>
      <w:r w:rsidRPr="00892269">
        <w:rPr>
          <w:rFonts w:cs="Calibri"/>
        </w:rPr>
        <w:t xml:space="preserve"> </w:t>
      </w:r>
      <w:r>
        <w:rPr>
          <w:rFonts w:cs="Calibri"/>
        </w:rPr>
        <w:t xml:space="preserve">should eventually have </w:t>
      </w:r>
      <w:r w:rsidRPr="00892269">
        <w:rPr>
          <w:rFonts w:cs="Calibri"/>
        </w:rPr>
        <w:t>joint validation work session</w:t>
      </w:r>
      <w:r>
        <w:rPr>
          <w:rFonts w:cs="Calibri"/>
        </w:rPr>
        <w:t>s</w:t>
      </w:r>
      <w:r w:rsidRPr="00892269">
        <w:rPr>
          <w:rFonts w:cs="Calibri"/>
        </w:rPr>
        <w:t xml:space="preserve"> to plan the installations, including identification of the requirements for hardware and network provisioning</w:t>
      </w:r>
    </w:p>
    <w:p w:rsidR="00C0175A" w:rsidRDefault="00C0175A" w:rsidP="00C0175A">
      <w:pPr>
        <w:pStyle w:val="ListParagraph"/>
        <w:ind w:left="1296"/>
      </w:pPr>
    </w:p>
    <w:p w:rsidR="00C0175A" w:rsidRDefault="00C0175A" w:rsidP="00C0175A">
      <w:pPr>
        <w:pStyle w:val="ListParagraph"/>
        <w:numPr>
          <w:ilvl w:val="0"/>
          <w:numId w:val="28"/>
        </w:numPr>
        <w:ind w:left="1296"/>
      </w:pPr>
      <w:r w:rsidRPr="002C6ECE">
        <w:rPr>
          <w:u w:val="single"/>
        </w:rPr>
        <w:t>Functional Requirements Gap Analysis</w:t>
      </w:r>
      <w:r>
        <w:t xml:space="preserve"> </w:t>
      </w:r>
    </w:p>
    <w:p w:rsidR="00760D55" w:rsidRDefault="00C0175A">
      <w:pPr>
        <w:pStyle w:val="ListParagraph"/>
        <w:ind w:left="1296"/>
      </w:pPr>
      <w:r>
        <w:t xml:space="preserve">Vendor </w:t>
      </w:r>
      <w:r w:rsidRPr="00892269">
        <w:t>will iteratively review configuration</w:t>
      </w:r>
      <w:r>
        <w:t>s</w:t>
      </w:r>
      <w:r w:rsidRPr="00892269">
        <w:t xml:space="preserve"> and develop business processes that take advantage of t</w:t>
      </w:r>
      <w:r>
        <w:t>he new available functionality of the CMS product</w:t>
      </w:r>
      <w:r w:rsidRPr="00892269">
        <w:t xml:space="preserve"> and document the functional requirements including, but not limited to, requirements for each case type and role. </w:t>
      </w:r>
      <w:r>
        <w:t xml:space="preserve">When describing how you will determine and deal with functional gaps, the description should include </w:t>
      </w:r>
      <w:r w:rsidRPr="00892269">
        <w:t>requirements validation and gap analysis work sessions wi</w:t>
      </w:r>
      <w:r>
        <w:t xml:space="preserve">th Court subject matter experts. </w:t>
      </w:r>
      <w:r w:rsidRPr="00892269">
        <w:t xml:space="preserve">This phase </w:t>
      </w:r>
      <w:r>
        <w:t xml:space="preserve">should </w:t>
      </w:r>
      <w:r w:rsidRPr="00892269">
        <w:t xml:space="preserve">include </w:t>
      </w:r>
      <w:r w:rsidR="000951EB">
        <w:t>forms, notices,</w:t>
      </w:r>
      <w:r>
        <w:t xml:space="preserve"> and reports requirements.</w:t>
      </w:r>
      <w:r w:rsidRPr="00892269">
        <w:t xml:space="preserve"> This phase </w:t>
      </w:r>
      <w:r>
        <w:t xml:space="preserve">should also include </w:t>
      </w:r>
      <w:r w:rsidRPr="00892269">
        <w:t xml:space="preserve">reviews of any required additional modules such as financials, automation, minutes, notes, and </w:t>
      </w:r>
      <w:r>
        <w:t>p</w:t>
      </w:r>
      <w:r w:rsidRPr="00892269">
        <w:t>ublic</w:t>
      </w:r>
      <w:r>
        <w:t xml:space="preserve"> portal</w:t>
      </w:r>
      <w:r w:rsidRPr="00892269">
        <w:t>.</w:t>
      </w:r>
    </w:p>
    <w:p w:rsidR="00C0175A" w:rsidRPr="00320416" w:rsidRDefault="00C0175A" w:rsidP="00C0175A">
      <w:pPr>
        <w:pStyle w:val="ListParagraph"/>
        <w:ind w:left="1296"/>
      </w:pPr>
    </w:p>
    <w:p w:rsidR="00C0175A" w:rsidRPr="00320416" w:rsidRDefault="00C0175A" w:rsidP="00C0175A">
      <w:pPr>
        <w:pStyle w:val="ListParagraph"/>
        <w:numPr>
          <w:ilvl w:val="0"/>
          <w:numId w:val="28"/>
        </w:numPr>
        <w:ind w:left="1296"/>
      </w:pPr>
      <w:r w:rsidRPr="00320416">
        <w:rPr>
          <w:u w:val="single"/>
        </w:rPr>
        <w:t>Implementation Plan</w:t>
      </w:r>
    </w:p>
    <w:p w:rsidR="00C0175A" w:rsidRDefault="00C0175A" w:rsidP="00C0175A">
      <w:pPr>
        <w:pStyle w:val="ListParagraph"/>
        <w:ind w:left="1296"/>
      </w:pPr>
      <w:r>
        <w:t>P</w:t>
      </w:r>
      <w:r w:rsidRPr="00750CB7">
        <w:t>rovide a detailed implementation plan that includes the following</w:t>
      </w:r>
      <w:r>
        <w:t>,</w:t>
      </w:r>
      <w:r w:rsidRPr="00750CB7">
        <w:t xml:space="preserve"> as </w:t>
      </w:r>
      <w:r w:rsidR="006230B7">
        <w:t>well as assumptions, necessary C</w:t>
      </w:r>
      <w:r w:rsidRPr="00750CB7">
        <w:t>ourt staff</w:t>
      </w:r>
      <w:r>
        <w:t>,</w:t>
      </w:r>
      <w:r w:rsidRPr="00750CB7">
        <w:t xml:space="preserve"> and </w:t>
      </w:r>
      <w:r>
        <w:t xml:space="preserve">required </w:t>
      </w:r>
      <w:r w:rsidRPr="00750CB7">
        <w:t>skill</w:t>
      </w:r>
      <w:r>
        <w:t xml:space="preserve"> </w:t>
      </w:r>
      <w:r w:rsidRPr="00750CB7">
        <w:t>sets</w:t>
      </w:r>
      <w:r w:rsidR="00426637">
        <w:t>:</w:t>
      </w:r>
    </w:p>
    <w:p w:rsidR="00C0175A" w:rsidRDefault="00C0175A" w:rsidP="00C0175A">
      <w:pPr>
        <w:pStyle w:val="ListParagraph"/>
        <w:numPr>
          <w:ilvl w:val="0"/>
          <w:numId w:val="30"/>
        </w:numPr>
        <w:ind w:left="1584"/>
      </w:pPr>
      <w:r>
        <w:t>Implementation timeline</w:t>
      </w:r>
      <w:r w:rsidR="00C375DC">
        <w:t xml:space="preserve"> not to exceed 13 months</w:t>
      </w:r>
    </w:p>
    <w:p w:rsidR="00C0175A" w:rsidRDefault="00C0175A" w:rsidP="00C0175A">
      <w:pPr>
        <w:pStyle w:val="ListParagraph"/>
        <w:numPr>
          <w:ilvl w:val="0"/>
          <w:numId w:val="30"/>
        </w:numPr>
        <w:ind w:left="1584"/>
      </w:pPr>
      <w:r>
        <w:t xml:space="preserve">Infrastructure design, hardware and software inventory acquisition list, and build instructions </w:t>
      </w:r>
    </w:p>
    <w:p w:rsidR="00C0175A" w:rsidRDefault="00C0175A" w:rsidP="00C0175A">
      <w:pPr>
        <w:pStyle w:val="ListParagraph"/>
        <w:numPr>
          <w:ilvl w:val="0"/>
          <w:numId w:val="30"/>
        </w:numPr>
        <w:ind w:left="1584"/>
      </w:pPr>
      <w:r>
        <w:t>Software loads</w:t>
      </w:r>
    </w:p>
    <w:p w:rsidR="00C0175A" w:rsidRDefault="00C0175A" w:rsidP="00C0175A">
      <w:pPr>
        <w:pStyle w:val="ListParagraph"/>
        <w:numPr>
          <w:ilvl w:val="0"/>
          <w:numId w:val="30"/>
        </w:numPr>
        <w:ind w:left="1584"/>
      </w:pPr>
      <w:r>
        <w:t>Base system ready date</w:t>
      </w:r>
    </w:p>
    <w:p w:rsidR="00C0175A" w:rsidRDefault="00C0175A" w:rsidP="00C0175A">
      <w:pPr>
        <w:pStyle w:val="ListParagraph"/>
        <w:numPr>
          <w:ilvl w:val="0"/>
          <w:numId w:val="30"/>
        </w:numPr>
        <w:ind w:left="1584"/>
      </w:pPr>
      <w:r>
        <w:t>Resources and responsibilities</w:t>
      </w:r>
    </w:p>
    <w:p w:rsidR="00C0175A" w:rsidRDefault="00C0175A" w:rsidP="00C0175A">
      <w:pPr>
        <w:pStyle w:val="ListParagraph"/>
        <w:numPr>
          <w:ilvl w:val="0"/>
          <w:numId w:val="30"/>
        </w:numPr>
        <w:ind w:left="1584"/>
      </w:pPr>
      <w:r>
        <w:t>Base and local system setup</w:t>
      </w:r>
    </w:p>
    <w:p w:rsidR="00C0175A" w:rsidRDefault="00C0175A" w:rsidP="00C0175A">
      <w:pPr>
        <w:pStyle w:val="ListParagraph"/>
        <w:numPr>
          <w:ilvl w:val="0"/>
          <w:numId w:val="30"/>
        </w:numPr>
        <w:ind w:left="1584"/>
      </w:pPr>
      <w:r>
        <w:t>Business process change strategy</w:t>
      </w:r>
    </w:p>
    <w:p w:rsidR="00C0175A" w:rsidRDefault="00C0175A" w:rsidP="00C0175A">
      <w:pPr>
        <w:pStyle w:val="ListParagraph"/>
        <w:numPr>
          <w:ilvl w:val="0"/>
          <w:numId w:val="30"/>
        </w:numPr>
        <w:ind w:left="1584"/>
      </w:pPr>
      <w:r>
        <w:t>Testing strategy</w:t>
      </w:r>
    </w:p>
    <w:p w:rsidR="00C0175A" w:rsidRDefault="00C0175A" w:rsidP="00C0175A">
      <w:pPr>
        <w:pStyle w:val="ListParagraph"/>
        <w:numPr>
          <w:ilvl w:val="0"/>
          <w:numId w:val="30"/>
        </w:numPr>
        <w:ind w:left="1584"/>
      </w:pPr>
      <w:r>
        <w:t>Training strategy</w:t>
      </w:r>
    </w:p>
    <w:p w:rsidR="00C0175A" w:rsidRDefault="00C0175A" w:rsidP="00C0175A">
      <w:pPr>
        <w:pStyle w:val="ListParagraph"/>
        <w:numPr>
          <w:ilvl w:val="0"/>
          <w:numId w:val="30"/>
        </w:numPr>
        <w:ind w:left="1584"/>
      </w:pPr>
      <w:r>
        <w:t>Planned communication to stakeholders</w:t>
      </w:r>
    </w:p>
    <w:p w:rsidR="00C0175A" w:rsidRDefault="00C0175A" w:rsidP="00C0175A">
      <w:pPr>
        <w:pStyle w:val="ListParagraph"/>
        <w:numPr>
          <w:ilvl w:val="0"/>
          <w:numId w:val="30"/>
        </w:numPr>
        <w:ind w:left="1584"/>
      </w:pPr>
      <w:r>
        <w:t>Go-Live support approach and planning</w:t>
      </w:r>
    </w:p>
    <w:p w:rsidR="00C0175A" w:rsidRDefault="00C0175A" w:rsidP="00C0175A">
      <w:pPr>
        <w:pStyle w:val="ListParagraph"/>
        <w:numPr>
          <w:ilvl w:val="0"/>
          <w:numId w:val="30"/>
        </w:numPr>
        <w:ind w:left="1584"/>
      </w:pPr>
      <w:r>
        <w:t>Risk analysis and contingency planning</w:t>
      </w:r>
    </w:p>
    <w:p w:rsidR="00C0175A" w:rsidRDefault="00C0175A" w:rsidP="00C0175A">
      <w:pPr>
        <w:pStyle w:val="ListParagraph"/>
        <w:numPr>
          <w:ilvl w:val="0"/>
          <w:numId w:val="30"/>
        </w:numPr>
        <w:ind w:left="1584"/>
      </w:pPr>
      <w:r>
        <w:t>Post-implementation approach and support planning</w:t>
      </w:r>
    </w:p>
    <w:p w:rsidR="00C0175A" w:rsidRDefault="00C0175A" w:rsidP="00C0175A">
      <w:pPr>
        <w:pStyle w:val="ListParagraph"/>
        <w:ind w:left="1584"/>
      </w:pPr>
    </w:p>
    <w:p w:rsidR="00C221A1" w:rsidRPr="00320416" w:rsidRDefault="00C221A1" w:rsidP="00C0175A">
      <w:pPr>
        <w:pStyle w:val="ListParagraph"/>
        <w:ind w:left="1584"/>
      </w:pPr>
    </w:p>
    <w:p w:rsidR="00C0175A" w:rsidRDefault="00C0175A" w:rsidP="00C0175A">
      <w:pPr>
        <w:pStyle w:val="ListParagraph"/>
        <w:numPr>
          <w:ilvl w:val="0"/>
          <w:numId w:val="28"/>
        </w:numPr>
        <w:ind w:left="1296"/>
      </w:pPr>
      <w:r w:rsidRPr="00E15178">
        <w:rPr>
          <w:u w:val="single"/>
        </w:rPr>
        <w:t>Integration Plan</w:t>
      </w:r>
    </w:p>
    <w:p w:rsidR="00C0175A" w:rsidRDefault="00C0175A" w:rsidP="00C0175A">
      <w:pPr>
        <w:pStyle w:val="ListParagraph"/>
        <w:ind w:left="1296"/>
      </w:pPr>
      <w:r>
        <w:t xml:space="preserve">Describe your approach to integration planning in order to replace and/or support existing data exchanges for state and local Justice Partners. The proposed integration plan should describe how the vendor </w:t>
      </w:r>
      <w:r w:rsidRPr="00E15178">
        <w:t>will analy</w:t>
      </w:r>
      <w:r>
        <w:t>ze the integration requirements</w:t>
      </w:r>
      <w:r w:rsidR="0018567A">
        <w:t xml:space="preserve"> (</w:t>
      </w:r>
      <w:r w:rsidR="0018567A" w:rsidRPr="00A012B1">
        <w:rPr>
          <w:i/>
          <w:sz w:val="20"/>
          <w:szCs w:val="20"/>
        </w:rPr>
        <w:t xml:space="preserve">Attachment </w:t>
      </w:r>
      <w:r w:rsidR="0018567A">
        <w:rPr>
          <w:i/>
          <w:sz w:val="20"/>
          <w:szCs w:val="20"/>
        </w:rPr>
        <w:t>11</w:t>
      </w:r>
      <w:r w:rsidR="0018567A">
        <w:t>)</w:t>
      </w:r>
      <w:r>
        <w:t xml:space="preserve"> and should reference national standards like NIEM where relevant.</w:t>
      </w:r>
    </w:p>
    <w:p w:rsidR="00C0175A" w:rsidRDefault="00C0175A" w:rsidP="00C0175A">
      <w:pPr>
        <w:ind w:left="144"/>
      </w:pPr>
    </w:p>
    <w:p w:rsidR="00C0175A" w:rsidRDefault="00C0175A" w:rsidP="00C0175A">
      <w:pPr>
        <w:ind w:left="864"/>
      </w:pPr>
      <w:r>
        <w:t>2.4.2. Vendor Resources and Implementation Activities:</w:t>
      </w:r>
    </w:p>
    <w:p w:rsidR="00C0175A" w:rsidRDefault="00C0175A" w:rsidP="00C0175A">
      <w:pPr>
        <w:ind w:left="864"/>
      </w:pPr>
    </w:p>
    <w:p w:rsidR="00C0175A" w:rsidRDefault="00C0175A" w:rsidP="00C0175A">
      <w:pPr>
        <w:pStyle w:val="ListParagraph"/>
        <w:numPr>
          <w:ilvl w:val="0"/>
          <w:numId w:val="29"/>
        </w:numPr>
        <w:ind w:left="1296"/>
      </w:pPr>
      <w:r w:rsidRPr="00320416">
        <w:rPr>
          <w:u w:val="single"/>
        </w:rPr>
        <w:t>Implementation Services</w:t>
      </w:r>
    </w:p>
    <w:p w:rsidR="00C0175A" w:rsidRDefault="00C0175A" w:rsidP="00C0175A">
      <w:pPr>
        <w:pStyle w:val="ListParagraph"/>
        <w:ind w:left="1296"/>
      </w:pPr>
      <w:r>
        <w:t>Vendor and the Court will implement the user acceptance test and production environments solution. Vendor and the Court will execute the implementation plan defined</w:t>
      </w:r>
      <w:r w:rsidR="00426637">
        <w:t>—t</w:t>
      </w:r>
      <w:r>
        <w:t>hat includes an emphasis on implementation, cut-over, risk and contingency planning, post-implementation support planning, and knowledge transfer and transition strategy.</w:t>
      </w:r>
    </w:p>
    <w:p w:rsidR="00C060B5" w:rsidRDefault="00C060B5"/>
    <w:p w:rsidR="00C0175A" w:rsidRDefault="00C0175A" w:rsidP="00C0175A">
      <w:pPr>
        <w:pStyle w:val="ListParagraph"/>
        <w:numPr>
          <w:ilvl w:val="0"/>
          <w:numId w:val="29"/>
        </w:numPr>
        <w:ind w:left="1296"/>
      </w:pPr>
      <w:r w:rsidRPr="00282266">
        <w:rPr>
          <w:u w:val="single"/>
        </w:rPr>
        <w:t>Set</w:t>
      </w:r>
      <w:r w:rsidR="00426637">
        <w:rPr>
          <w:u w:val="single"/>
        </w:rPr>
        <w:t>-</w:t>
      </w:r>
      <w:r w:rsidRPr="00282266">
        <w:rPr>
          <w:u w:val="single"/>
        </w:rPr>
        <w:t>Up and Administration</w:t>
      </w:r>
    </w:p>
    <w:p w:rsidR="00C0175A" w:rsidRDefault="00C0175A" w:rsidP="00C0175A">
      <w:pPr>
        <w:pStyle w:val="ListParagraph"/>
        <w:ind w:left="1296"/>
      </w:pPr>
      <w:r>
        <w:t>The vendor</w:t>
      </w:r>
      <w:r w:rsidRPr="00282266">
        <w:t xml:space="preserve"> will </w:t>
      </w:r>
      <w:r w:rsidR="006230B7">
        <w:t>work with the C</w:t>
      </w:r>
      <w:r>
        <w:t xml:space="preserve">ourt to have the appropriate hardware required for the CMS/DMS solution installed. Vendor will </w:t>
      </w:r>
      <w:r w:rsidRPr="00282266">
        <w:t xml:space="preserve">install </w:t>
      </w:r>
      <w:r>
        <w:t xml:space="preserve">and </w:t>
      </w:r>
      <w:r w:rsidRPr="00282266">
        <w:t xml:space="preserve">configure </w:t>
      </w:r>
      <w:r>
        <w:t xml:space="preserve">the CMS </w:t>
      </w:r>
      <w:r w:rsidRPr="00282266">
        <w:t>solution into the Court environment.</w:t>
      </w:r>
      <w:r>
        <w:t xml:space="preserve"> Vendor </w:t>
      </w:r>
      <w:r w:rsidRPr="00282266">
        <w:t xml:space="preserve">will train the Court staff in the installation, </w:t>
      </w:r>
      <w:r>
        <w:t xml:space="preserve">administration, </w:t>
      </w:r>
      <w:r w:rsidRPr="00282266">
        <w:t>system updat</w:t>
      </w:r>
      <w:r w:rsidR="00AD6C62">
        <w:t>ing</w:t>
      </w:r>
      <w:r w:rsidRPr="00282266">
        <w:t>, tuning, and troubleshooting procedures.</w:t>
      </w:r>
    </w:p>
    <w:p w:rsidR="00C0175A" w:rsidRDefault="00C0175A" w:rsidP="00C0175A">
      <w:pPr>
        <w:pStyle w:val="ListParagraph"/>
        <w:ind w:left="1296"/>
      </w:pPr>
    </w:p>
    <w:p w:rsidR="00C0175A" w:rsidRDefault="00C0175A" w:rsidP="00C0175A">
      <w:pPr>
        <w:pStyle w:val="ListParagraph"/>
        <w:numPr>
          <w:ilvl w:val="0"/>
          <w:numId w:val="29"/>
        </w:numPr>
        <w:ind w:left="1296"/>
      </w:pPr>
      <w:r>
        <w:rPr>
          <w:u w:val="single"/>
        </w:rPr>
        <w:t xml:space="preserve">Application </w:t>
      </w:r>
      <w:r w:rsidRPr="00282266">
        <w:rPr>
          <w:u w:val="single"/>
        </w:rPr>
        <w:t>Configuration</w:t>
      </w:r>
    </w:p>
    <w:p w:rsidR="00C0175A" w:rsidRDefault="00C0175A" w:rsidP="00C0175A">
      <w:pPr>
        <w:pStyle w:val="ListParagraph"/>
        <w:ind w:left="1296"/>
      </w:pPr>
      <w:r>
        <w:t>With guidance from designated Court st</w:t>
      </w:r>
      <w:r w:rsidR="006230B7">
        <w:t>aff, vendor will work with the C</w:t>
      </w:r>
      <w:r>
        <w:t xml:space="preserve">ourt to build the application configuration that will serve as the foundation of the CMS and DMS. </w:t>
      </w:r>
    </w:p>
    <w:p w:rsidR="00C0175A" w:rsidRDefault="00C0175A" w:rsidP="00C0175A">
      <w:pPr>
        <w:pStyle w:val="ListParagraph"/>
        <w:ind w:left="1296"/>
      </w:pPr>
    </w:p>
    <w:p w:rsidR="00C0175A" w:rsidRPr="00E871F6" w:rsidRDefault="00C0175A" w:rsidP="00E871F6">
      <w:pPr>
        <w:pStyle w:val="ListParagraph"/>
        <w:numPr>
          <w:ilvl w:val="0"/>
          <w:numId w:val="29"/>
        </w:numPr>
        <w:ind w:left="1350"/>
        <w:rPr>
          <w:u w:val="single"/>
        </w:rPr>
      </w:pPr>
      <w:r w:rsidRPr="00E871F6">
        <w:rPr>
          <w:u w:val="single"/>
        </w:rPr>
        <w:t>Reports and Forms</w:t>
      </w:r>
    </w:p>
    <w:p w:rsidR="00C0175A" w:rsidRDefault="00C0175A" w:rsidP="00C0175A">
      <w:pPr>
        <w:pStyle w:val="ListParagraph"/>
        <w:ind w:left="1296"/>
      </w:pPr>
      <w:r>
        <w:t>The vendor will work with the Court to identify reports and forms required as well as codified values that should be included in the new CMS and DMS configuration.</w:t>
      </w:r>
    </w:p>
    <w:p w:rsidR="00E871F6" w:rsidRDefault="00E871F6" w:rsidP="00C0175A">
      <w:pPr>
        <w:pStyle w:val="ListParagraph"/>
        <w:ind w:left="1296"/>
      </w:pPr>
    </w:p>
    <w:p w:rsidR="00C0175A" w:rsidRDefault="00C0175A" w:rsidP="00C0175A">
      <w:pPr>
        <w:pStyle w:val="ListParagraph"/>
        <w:numPr>
          <w:ilvl w:val="0"/>
          <w:numId w:val="29"/>
        </w:numPr>
        <w:ind w:left="1296"/>
      </w:pPr>
      <w:r w:rsidRPr="00873655">
        <w:rPr>
          <w:u w:val="single"/>
        </w:rPr>
        <w:t>Documentation</w:t>
      </w:r>
    </w:p>
    <w:p w:rsidR="00C0175A" w:rsidRDefault="00C0175A" w:rsidP="00C0175A">
      <w:pPr>
        <w:pStyle w:val="ListParagraph"/>
        <w:ind w:left="1296"/>
      </w:pPr>
      <w:r>
        <w:t>The vendor is responsible for creating the standard operational documentation.</w:t>
      </w:r>
      <w:r w:rsidRPr="00873655">
        <w:t xml:space="preserve"> </w:t>
      </w:r>
      <w:r>
        <w:t xml:space="preserve">The vendor working with </w:t>
      </w:r>
      <w:r w:rsidRPr="00873655">
        <w:t xml:space="preserve">the Court will create user and system administration manuals that are </w:t>
      </w:r>
      <w:r>
        <w:t xml:space="preserve">required </w:t>
      </w:r>
      <w:r w:rsidRPr="00873655">
        <w:t xml:space="preserve">by the Court.  </w:t>
      </w:r>
    </w:p>
    <w:p w:rsidR="00C0175A" w:rsidRDefault="00C0175A" w:rsidP="00C0175A">
      <w:pPr>
        <w:pStyle w:val="ListParagraph"/>
        <w:ind w:left="1296"/>
      </w:pPr>
    </w:p>
    <w:p w:rsidR="00C0175A" w:rsidRDefault="00C0175A" w:rsidP="00C0175A">
      <w:pPr>
        <w:pStyle w:val="ListParagraph"/>
        <w:numPr>
          <w:ilvl w:val="0"/>
          <w:numId w:val="29"/>
        </w:numPr>
        <w:ind w:left="1296"/>
      </w:pPr>
      <w:r w:rsidRPr="00C261CD">
        <w:rPr>
          <w:u w:val="single"/>
        </w:rPr>
        <w:t>Testing of Business Functionality and Validation</w:t>
      </w:r>
    </w:p>
    <w:p w:rsidR="00C0175A" w:rsidRDefault="00C0175A" w:rsidP="00C0175A">
      <w:pPr>
        <w:pStyle w:val="ListParagraph"/>
        <w:ind w:left="1296"/>
      </w:pPr>
      <w:r>
        <w:t>The Vendor and the Court will train several groups of Court testers in the use of the system using the approved configuration and documentation. The Court testers with vendor business leads will then conduct system testing and validation of the configuration. They will draw from their experience and also use the test cases created by the vendor</w:t>
      </w:r>
      <w:r w:rsidR="00BF1E0D">
        <w:t>,</w:t>
      </w:r>
      <w:r w:rsidR="006230B7">
        <w:t xml:space="preserve"> working with C</w:t>
      </w:r>
      <w:r>
        <w:t>ourt subject matter experts. Configuration and application fixes will be regression tested and reexamined by Court testers with the assistance of vendor business leads until testing results meet the agreed upon exit criteria.</w:t>
      </w:r>
    </w:p>
    <w:p w:rsidR="00C0175A" w:rsidRDefault="00C0175A" w:rsidP="00C0175A">
      <w:pPr>
        <w:pStyle w:val="ListParagraph"/>
        <w:ind w:left="1296"/>
      </w:pPr>
    </w:p>
    <w:p w:rsidR="00C0175A" w:rsidRDefault="00C0175A" w:rsidP="00C0175A">
      <w:pPr>
        <w:pStyle w:val="ListParagraph"/>
        <w:numPr>
          <w:ilvl w:val="0"/>
          <w:numId w:val="29"/>
        </w:numPr>
        <w:ind w:left="1296"/>
      </w:pPr>
      <w:r w:rsidRPr="00873655">
        <w:rPr>
          <w:u w:val="single"/>
        </w:rPr>
        <w:t>End User Training/Knowledge Transfer</w:t>
      </w:r>
    </w:p>
    <w:p w:rsidR="00C0175A" w:rsidRDefault="00C0175A" w:rsidP="00C0175A">
      <w:pPr>
        <w:pStyle w:val="ListParagraph"/>
        <w:ind w:left="1296"/>
      </w:pPr>
      <w:r>
        <w:t xml:space="preserve">The vendor will train the Court trainers </w:t>
      </w:r>
      <w:r w:rsidR="00396D3C">
        <w:t>through court acceptance</w:t>
      </w:r>
      <w:r>
        <w:t>. The Court trainers utilizing vendor</w:t>
      </w:r>
      <w:r w:rsidR="00BF1E0D">
        <w:t>-</w:t>
      </w:r>
      <w:r>
        <w:t>provided core documentation will create, with vendor’s assistance, the training program, including documentation as desired. Training programs should include but not be limited to:</w:t>
      </w:r>
    </w:p>
    <w:p w:rsidR="00C0175A" w:rsidRDefault="00C0175A" w:rsidP="00C0175A">
      <w:pPr>
        <w:pStyle w:val="ListParagraph"/>
        <w:numPr>
          <w:ilvl w:val="0"/>
          <w:numId w:val="32"/>
        </w:numPr>
        <w:ind w:left="1656"/>
      </w:pPr>
      <w:r>
        <w:t>Baseline End-User Training</w:t>
      </w:r>
    </w:p>
    <w:p w:rsidR="00C0175A" w:rsidRDefault="00C0175A" w:rsidP="00C0175A">
      <w:pPr>
        <w:pStyle w:val="ListParagraph"/>
        <w:numPr>
          <w:ilvl w:val="0"/>
          <w:numId w:val="31"/>
        </w:numPr>
        <w:ind w:left="1656"/>
      </w:pPr>
      <w:r>
        <w:t xml:space="preserve">Specific Case Processing by Functional Area </w:t>
      </w:r>
    </w:p>
    <w:p w:rsidR="00C0175A" w:rsidRDefault="00C0175A" w:rsidP="00C0175A">
      <w:pPr>
        <w:pStyle w:val="ListParagraph"/>
        <w:numPr>
          <w:ilvl w:val="0"/>
          <w:numId w:val="31"/>
        </w:numPr>
        <w:ind w:left="1656"/>
      </w:pPr>
      <w:r>
        <w:t>System Administrator Training</w:t>
      </w:r>
    </w:p>
    <w:p w:rsidR="00C0175A" w:rsidRDefault="00C0175A" w:rsidP="00C0175A">
      <w:pPr>
        <w:pStyle w:val="ListParagraph"/>
        <w:ind w:left="1440"/>
      </w:pPr>
    </w:p>
    <w:p w:rsidR="00C0175A" w:rsidRDefault="00C0175A" w:rsidP="00C0175A">
      <w:pPr>
        <w:pStyle w:val="ListParagraph"/>
        <w:numPr>
          <w:ilvl w:val="0"/>
          <w:numId w:val="29"/>
        </w:numPr>
        <w:ind w:left="1296"/>
      </w:pPr>
      <w:r>
        <w:rPr>
          <w:u w:val="single"/>
        </w:rPr>
        <w:t xml:space="preserve">Technical Support &amp; Operations </w:t>
      </w:r>
      <w:r w:rsidRPr="00873655">
        <w:rPr>
          <w:u w:val="single"/>
        </w:rPr>
        <w:t>Knowledge Transfer</w:t>
      </w:r>
    </w:p>
    <w:p w:rsidR="00C0175A" w:rsidRDefault="00C0175A" w:rsidP="00C0175A">
      <w:pPr>
        <w:pStyle w:val="ListParagraph"/>
        <w:ind w:left="1296"/>
      </w:pPr>
      <w:r>
        <w:t>The vendor will train the Court technical staff and provide the necessary documentation and procedures. Training programs should include but not be limited to:</w:t>
      </w:r>
    </w:p>
    <w:p w:rsidR="00C0175A" w:rsidRDefault="00C0175A" w:rsidP="00C0175A">
      <w:pPr>
        <w:pStyle w:val="ListParagraph"/>
        <w:numPr>
          <w:ilvl w:val="0"/>
          <w:numId w:val="32"/>
        </w:numPr>
        <w:ind w:left="1656"/>
      </w:pPr>
      <w:r>
        <w:t>System Operations training and documentation</w:t>
      </w:r>
    </w:p>
    <w:p w:rsidR="00C0175A" w:rsidRDefault="00C0175A" w:rsidP="00C0175A">
      <w:pPr>
        <w:pStyle w:val="ListParagraph"/>
        <w:ind w:left="1440"/>
      </w:pPr>
    </w:p>
    <w:p w:rsidR="00C0175A" w:rsidRDefault="00C0175A" w:rsidP="00C0175A">
      <w:pPr>
        <w:pStyle w:val="ListParagraph"/>
        <w:numPr>
          <w:ilvl w:val="0"/>
          <w:numId w:val="29"/>
        </w:numPr>
        <w:ind w:left="1296"/>
      </w:pPr>
      <w:r w:rsidRPr="00C261CD">
        <w:rPr>
          <w:u w:val="single"/>
        </w:rPr>
        <w:t>User Acceptance Activities</w:t>
      </w:r>
    </w:p>
    <w:p w:rsidR="00C0175A" w:rsidRDefault="00AD6C62" w:rsidP="00C0175A">
      <w:pPr>
        <w:pStyle w:val="ListParagraph"/>
        <w:ind w:left="1296"/>
      </w:pPr>
      <w:r>
        <w:t>The v</w:t>
      </w:r>
      <w:r w:rsidR="00C0175A">
        <w:t>endor will provide resources to coordinate and support all UAT activities utilizing the Court and vendor SMEs</w:t>
      </w:r>
      <w:r>
        <w:t>.</w:t>
      </w:r>
    </w:p>
    <w:p w:rsidR="00C0175A" w:rsidRDefault="00C0175A" w:rsidP="00C0175A">
      <w:pPr>
        <w:pStyle w:val="ListParagraph"/>
        <w:ind w:left="1296"/>
      </w:pPr>
    </w:p>
    <w:p w:rsidR="00C0175A" w:rsidRDefault="00C0175A" w:rsidP="00C0175A">
      <w:pPr>
        <w:pStyle w:val="ListParagraph"/>
        <w:numPr>
          <w:ilvl w:val="0"/>
          <w:numId w:val="29"/>
        </w:numPr>
        <w:ind w:left="1296"/>
      </w:pPr>
      <w:r w:rsidRPr="00C261CD">
        <w:rPr>
          <w:u w:val="single"/>
        </w:rPr>
        <w:t>Go-Live Support</w:t>
      </w:r>
    </w:p>
    <w:p w:rsidR="00C0175A" w:rsidRDefault="00AD6C62" w:rsidP="00C0175A">
      <w:pPr>
        <w:pStyle w:val="ListParagraph"/>
        <w:ind w:left="1296"/>
      </w:pPr>
      <w:r>
        <w:t>The v</w:t>
      </w:r>
      <w:r w:rsidR="00C0175A">
        <w:t>endor will provide resources for go-live activities ensuring a seamless business transition utilizing the new CMS</w:t>
      </w:r>
      <w:r>
        <w:t>/</w:t>
      </w:r>
      <w:r w:rsidR="00C0175A">
        <w:t xml:space="preserve">DMS solution. Two distinct cutovers are to be included in the implementation plan: </w:t>
      </w:r>
    </w:p>
    <w:p w:rsidR="00C0175A" w:rsidRDefault="00C0175A" w:rsidP="00C0175A">
      <w:pPr>
        <w:pStyle w:val="ListParagraph"/>
        <w:numPr>
          <w:ilvl w:val="0"/>
          <w:numId w:val="45"/>
        </w:numPr>
      </w:pPr>
      <w:r>
        <w:t>Criminal and Traffic</w:t>
      </w:r>
    </w:p>
    <w:p w:rsidR="00C0175A" w:rsidRDefault="00C0175A" w:rsidP="00C0175A">
      <w:pPr>
        <w:pStyle w:val="ListParagraph"/>
        <w:numPr>
          <w:ilvl w:val="0"/>
          <w:numId w:val="45"/>
        </w:numPr>
      </w:pPr>
      <w:r>
        <w:t xml:space="preserve">Civil, Juvenile and Juvenile dependency </w:t>
      </w:r>
    </w:p>
    <w:p w:rsidR="00C0175A" w:rsidRDefault="00C0175A" w:rsidP="00C0175A">
      <w:pPr>
        <w:pStyle w:val="ListParagraph"/>
        <w:numPr>
          <w:ilvl w:val="0"/>
          <w:numId w:val="45"/>
        </w:numPr>
      </w:pPr>
      <w:r>
        <w:t>Each cutover should be separated by</w:t>
      </w:r>
      <w:r w:rsidR="00C375DC">
        <w:t xml:space="preserve"> a minimum of</w:t>
      </w:r>
      <w:r>
        <w:t xml:space="preserve"> four to six weeks</w:t>
      </w:r>
    </w:p>
    <w:p w:rsidR="00C0175A" w:rsidRDefault="00C0175A" w:rsidP="00C0175A">
      <w:pPr>
        <w:pStyle w:val="ListParagraph"/>
        <w:ind w:left="1296"/>
      </w:pPr>
    </w:p>
    <w:p w:rsidR="00C0175A" w:rsidRDefault="00C0175A" w:rsidP="00C0175A">
      <w:pPr>
        <w:pStyle w:val="ListParagraph"/>
        <w:numPr>
          <w:ilvl w:val="0"/>
          <w:numId w:val="29"/>
        </w:numPr>
        <w:ind w:left="1296"/>
      </w:pPr>
      <w:r w:rsidRPr="00320416">
        <w:rPr>
          <w:u w:val="single"/>
        </w:rPr>
        <w:t>Post Implementation Support and Project Closeout</w:t>
      </w:r>
    </w:p>
    <w:p w:rsidR="00C0175A" w:rsidRDefault="00C0175A" w:rsidP="00C0175A">
      <w:pPr>
        <w:pStyle w:val="ListParagraph"/>
        <w:ind w:left="1296"/>
      </w:pPr>
      <w:r>
        <w:t>The vendor</w:t>
      </w:r>
      <w:r w:rsidRPr="00320416">
        <w:t xml:space="preserve"> will provide busines</w:t>
      </w:r>
      <w:r>
        <w:t>s and technical support of the CMS</w:t>
      </w:r>
      <w:r w:rsidRPr="00320416">
        <w:t xml:space="preserve"> </w:t>
      </w:r>
      <w:r>
        <w:t xml:space="preserve">and DMS </w:t>
      </w:r>
      <w:r w:rsidRPr="00320416">
        <w:t>solution</w:t>
      </w:r>
      <w:r>
        <w:t>s</w:t>
      </w:r>
      <w:r w:rsidRPr="00320416">
        <w:t xml:space="preserve"> to ensure a successful implementation by the user community. </w:t>
      </w:r>
      <w:r>
        <w:t xml:space="preserve">The vendor </w:t>
      </w:r>
      <w:r w:rsidRPr="00320416">
        <w:t xml:space="preserve">will provide </w:t>
      </w:r>
      <w:r>
        <w:t xml:space="preserve">application </w:t>
      </w:r>
      <w:r w:rsidRPr="00320416">
        <w:t>support</w:t>
      </w:r>
      <w:r>
        <w:t>,</w:t>
      </w:r>
      <w:r w:rsidRPr="00320416">
        <w:t xml:space="preserve"> track and resolve issues that are uncovered, assist the Court in performing any necessary </w:t>
      </w:r>
      <w:r>
        <w:t>system</w:t>
      </w:r>
      <w:r w:rsidRPr="00320416">
        <w:t xml:space="preserve"> tuning to maintain a</w:t>
      </w:r>
      <w:r>
        <w:t xml:space="preserve">cceptable </w:t>
      </w:r>
      <w:r w:rsidRPr="00320416">
        <w:t>system performance</w:t>
      </w:r>
      <w:r>
        <w:t xml:space="preserve"> </w:t>
      </w:r>
      <w:r w:rsidRPr="003F553F">
        <w:rPr>
          <w:i/>
          <w:sz w:val="20"/>
          <w:szCs w:val="20"/>
        </w:rPr>
        <w:t>(as per service levels detailed in Exhibit XX of attachment 2</w:t>
      </w:r>
      <w:r>
        <w:t>)</w:t>
      </w:r>
      <w:r w:rsidRPr="00320416">
        <w:t>, finalize technical documentation</w:t>
      </w:r>
      <w:r w:rsidR="004C6FAF">
        <w:t>,</w:t>
      </w:r>
      <w:r w:rsidRPr="00320416">
        <w:t xml:space="preserve"> and finalize knowledge transfer to the Court. </w:t>
      </w:r>
      <w:r>
        <w:t>The vendor</w:t>
      </w:r>
      <w:r w:rsidRPr="00320416">
        <w:t xml:space="preserve"> will perform project closeout tasks to transfer project roles to Court for ongoing operational support of the new system and document lessons learned.</w:t>
      </w:r>
    </w:p>
    <w:p w:rsidR="00C0175A" w:rsidRDefault="00C0175A" w:rsidP="00C0175A">
      <w:pPr>
        <w:pStyle w:val="ListParagraph"/>
        <w:ind w:left="1080"/>
      </w:pPr>
    </w:p>
    <w:p w:rsidR="00651E8D" w:rsidRDefault="00651E8D" w:rsidP="00651E8D">
      <w:pPr>
        <w:ind w:left="1080"/>
      </w:pPr>
    </w:p>
    <w:p w:rsidR="00EF54E1" w:rsidRDefault="00651E8D" w:rsidP="007954AF">
      <w:pPr>
        <w:pStyle w:val="ListParagraph"/>
        <w:numPr>
          <w:ilvl w:val="1"/>
          <w:numId w:val="48"/>
        </w:numPr>
      </w:pPr>
      <w:r w:rsidRPr="007954AF">
        <w:rPr>
          <w:b/>
          <w:u w:val="single"/>
        </w:rPr>
        <w:t>Guidelines for Deployment Services Deliverables</w:t>
      </w:r>
    </w:p>
    <w:p w:rsidR="007064DF" w:rsidRDefault="00651E8D">
      <w:pPr>
        <w:ind w:left="720"/>
      </w:pPr>
      <w:r w:rsidRPr="00195A30">
        <w:t>The goal</w:t>
      </w:r>
      <w:r>
        <w:t xml:space="preserve"> of this project</w:t>
      </w:r>
      <w:r w:rsidRPr="00195A30">
        <w:t xml:space="preserve"> is to have a new CMS</w:t>
      </w:r>
      <w:r>
        <w:t xml:space="preserve"> and DMS</w:t>
      </w:r>
      <w:r w:rsidRPr="00195A30">
        <w:t xml:space="preserve"> installed and configured within </w:t>
      </w:r>
      <w:r w:rsidR="00432F17">
        <w:t xml:space="preserve">thirteen </w:t>
      </w:r>
      <w:r w:rsidR="007A3FA7">
        <w:t xml:space="preserve">(13) </w:t>
      </w:r>
      <w:r w:rsidRPr="00195A30">
        <w:t>months after a contract is signed. Based upon these goals and the capacity of your company,</w:t>
      </w:r>
      <w:r w:rsidR="00523A05">
        <w:t xml:space="preserve"> </w:t>
      </w:r>
      <w:r w:rsidRPr="00195A30">
        <w:t>prepare a deployment schedule, project plan and deployment budget.</w:t>
      </w:r>
    </w:p>
    <w:p w:rsidR="00651E8D" w:rsidRDefault="00651E8D" w:rsidP="00651E8D">
      <w:pPr>
        <w:ind w:left="1080"/>
      </w:pPr>
    </w:p>
    <w:p w:rsidR="00651E8D" w:rsidRDefault="000C5E3A" w:rsidP="007A3FA7">
      <w:pPr>
        <w:pStyle w:val="ListParagraph"/>
        <w:numPr>
          <w:ilvl w:val="0"/>
          <w:numId w:val="21"/>
        </w:numPr>
        <w:spacing w:line="276" w:lineRule="auto"/>
        <w:ind w:left="1260"/>
        <w:contextualSpacing/>
      </w:pPr>
      <w:r>
        <w:t>D</w:t>
      </w:r>
      <w:r w:rsidR="00651E8D">
        <w:t xml:space="preserve">escribe your implementation planning (including project management) process. </w:t>
      </w:r>
    </w:p>
    <w:p w:rsidR="00651E8D" w:rsidRDefault="000C5E3A" w:rsidP="007A3FA7">
      <w:pPr>
        <w:pStyle w:val="ListParagraph"/>
        <w:numPr>
          <w:ilvl w:val="0"/>
          <w:numId w:val="21"/>
        </w:numPr>
        <w:spacing w:line="276" w:lineRule="auto"/>
        <w:ind w:left="1260"/>
        <w:contextualSpacing/>
      </w:pPr>
      <w:r>
        <w:t>D</w:t>
      </w:r>
      <w:r w:rsidR="00651E8D">
        <w:t xml:space="preserve">escribe your recommendation for roles your company personnel will assume and the roles </w:t>
      </w:r>
      <w:r w:rsidR="00BF1E0D">
        <w:t xml:space="preserve">that </w:t>
      </w:r>
      <w:r w:rsidR="00651E8D">
        <w:t>Court staff should assume in the implementation process.</w:t>
      </w:r>
    </w:p>
    <w:p w:rsidR="00651E8D" w:rsidRDefault="00AA7FB8" w:rsidP="007A3FA7">
      <w:pPr>
        <w:pStyle w:val="ListParagraph"/>
        <w:numPr>
          <w:ilvl w:val="0"/>
          <w:numId w:val="21"/>
        </w:numPr>
        <w:spacing w:line="276" w:lineRule="auto"/>
        <w:ind w:left="1260"/>
        <w:contextualSpacing/>
      </w:pPr>
      <w:r>
        <w:t>R</w:t>
      </w:r>
      <w:r w:rsidR="00651E8D">
        <w:t>espond to the following questions that relate to specific issues:</w:t>
      </w:r>
    </w:p>
    <w:p w:rsidR="007064DF" w:rsidRDefault="00651E8D" w:rsidP="007A3FA7">
      <w:pPr>
        <w:pStyle w:val="ListParagraph"/>
        <w:numPr>
          <w:ilvl w:val="0"/>
          <w:numId w:val="41"/>
        </w:numPr>
      </w:pPr>
      <w:r>
        <w:t>Describe how you would facilitate any required interfaces or electronic tools that have been purchased and/or installed and may be copyrighted.</w:t>
      </w:r>
      <w:r w:rsidR="007A3FA7">
        <w:t xml:space="preserve"> </w:t>
      </w:r>
      <w:r>
        <w:t xml:space="preserve">Examples of local interfaces may include jail management systems, booking systems, juvenile detention management systems, imaging systems, and probation systems. </w:t>
      </w:r>
    </w:p>
    <w:p w:rsidR="007064DF" w:rsidRDefault="00651E8D" w:rsidP="007A3FA7">
      <w:pPr>
        <w:pStyle w:val="ListParagraph"/>
        <w:numPr>
          <w:ilvl w:val="0"/>
          <w:numId w:val="41"/>
        </w:numPr>
      </w:pPr>
      <w:r>
        <w:t>Describe the process involved in implementing any required specific</w:t>
      </w:r>
      <w:r w:rsidR="007A3FA7">
        <w:t xml:space="preserve"> </w:t>
      </w:r>
      <w:r>
        <w:t xml:space="preserve">configurations, e.g., local ordinances, terms of probation and pretrial release, </w:t>
      </w:r>
      <w:r w:rsidR="0010209E">
        <w:t xml:space="preserve">and </w:t>
      </w:r>
      <w:r>
        <w:t>creation of standard local documents using case management information</w:t>
      </w:r>
      <w:r w:rsidR="0010209E">
        <w:t>. I</w:t>
      </w:r>
      <w:r w:rsidR="006230B7">
        <w:t>nclude any local C</w:t>
      </w:r>
      <w:r>
        <w:t>ourt personnel required to accomplish the task.</w:t>
      </w:r>
    </w:p>
    <w:p w:rsidR="00651E8D" w:rsidRDefault="00FF4744" w:rsidP="00B06469">
      <w:pPr>
        <w:pStyle w:val="ListParagraph"/>
        <w:numPr>
          <w:ilvl w:val="0"/>
          <w:numId w:val="22"/>
        </w:numPr>
        <w:tabs>
          <w:tab w:val="left" w:pos="900"/>
        </w:tabs>
        <w:spacing w:line="276" w:lineRule="auto"/>
        <w:ind w:left="1260"/>
        <w:contextualSpacing/>
      </w:pPr>
      <w:r>
        <w:t>Describe your</w:t>
      </w:r>
      <w:r w:rsidR="00651E8D">
        <w:t xml:space="preserve"> process for</w:t>
      </w:r>
      <w:r w:rsidR="00CA377D">
        <w:t xml:space="preserve"> </w:t>
      </w:r>
      <w:r>
        <w:t xml:space="preserve">coordinating </w:t>
      </w:r>
      <w:r w:rsidR="00651E8D">
        <w:t>user acceptance</w:t>
      </w:r>
      <w:r w:rsidR="00BF1E0D">
        <w:t>.</w:t>
      </w:r>
    </w:p>
    <w:p w:rsidR="00FF4744" w:rsidRDefault="00FF4744" w:rsidP="00B06469">
      <w:pPr>
        <w:pStyle w:val="ListParagraph"/>
        <w:numPr>
          <w:ilvl w:val="0"/>
          <w:numId w:val="22"/>
        </w:numPr>
        <w:tabs>
          <w:tab w:val="left" w:pos="900"/>
        </w:tabs>
        <w:spacing w:line="276" w:lineRule="auto"/>
        <w:ind w:left="1260"/>
        <w:contextualSpacing/>
      </w:pPr>
      <w:r>
        <w:t xml:space="preserve">Describe your process for </w:t>
      </w:r>
      <w:r w:rsidR="00C375DC">
        <w:t>change management</w:t>
      </w:r>
      <w:r w:rsidR="00BF1E0D">
        <w:t>.</w:t>
      </w:r>
    </w:p>
    <w:p w:rsidR="00FF4744" w:rsidRDefault="00FF4744" w:rsidP="00B06469">
      <w:pPr>
        <w:pStyle w:val="ListParagraph"/>
        <w:numPr>
          <w:ilvl w:val="0"/>
          <w:numId w:val="22"/>
        </w:numPr>
        <w:tabs>
          <w:tab w:val="left" w:pos="900"/>
        </w:tabs>
        <w:spacing w:line="276" w:lineRule="auto"/>
        <w:ind w:left="1260"/>
        <w:contextualSpacing/>
      </w:pPr>
      <w:r>
        <w:t>Describe your process for critical defect scena</w:t>
      </w:r>
      <w:r w:rsidR="00C375DC">
        <w:t>rios</w:t>
      </w:r>
      <w:r w:rsidR="00BF1E0D">
        <w:t>.</w:t>
      </w:r>
    </w:p>
    <w:p w:rsidR="00FF4744" w:rsidRDefault="00FF4744" w:rsidP="00B06469">
      <w:pPr>
        <w:pStyle w:val="ListParagraph"/>
        <w:numPr>
          <w:ilvl w:val="0"/>
          <w:numId w:val="22"/>
        </w:numPr>
        <w:tabs>
          <w:tab w:val="left" w:pos="900"/>
        </w:tabs>
        <w:spacing w:line="276" w:lineRule="auto"/>
        <w:ind w:left="1260"/>
        <w:contextualSpacing/>
      </w:pPr>
      <w:r>
        <w:t>Describe your process for coordinating software upgrades and version management</w:t>
      </w:r>
      <w:r w:rsidR="00BF1E0D">
        <w:t>.</w:t>
      </w:r>
    </w:p>
    <w:p w:rsidR="00651E8D" w:rsidRDefault="00651E8D" w:rsidP="00B06469">
      <w:pPr>
        <w:pStyle w:val="ListParagraph"/>
        <w:numPr>
          <w:ilvl w:val="0"/>
          <w:numId w:val="23"/>
        </w:numPr>
        <w:tabs>
          <w:tab w:val="left" w:pos="900"/>
        </w:tabs>
        <w:spacing w:line="276" w:lineRule="auto"/>
        <w:ind w:left="1260"/>
        <w:contextualSpacing/>
      </w:pPr>
      <w:r>
        <w:t>Describe the process employed to track and report progress in system deployment.</w:t>
      </w:r>
    </w:p>
    <w:p w:rsidR="00651E8D" w:rsidRDefault="00651E8D" w:rsidP="00B06469">
      <w:pPr>
        <w:pStyle w:val="ListParagraph"/>
        <w:numPr>
          <w:ilvl w:val="0"/>
          <w:numId w:val="23"/>
        </w:numPr>
        <w:tabs>
          <w:tab w:val="left" w:pos="900"/>
        </w:tabs>
        <w:spacing w:line="276" w:lineRule="auto"/>
        <w:ind w:left="1260"/>
        <w:contextualSpacing/>
      </w:pPr>
      <w:r>
        <w:t>Describe the process and standards employed in determining when phases of deployment are satisfactorily completed.</w:t>
      </w:r>
    </w:p>
    <w:p w:rsidR="00651E8D" w:rsidRDefault="00651E8D" w:rsidP="00B06469">
      <w:pPr>
        <w:pStyle w:val="ListParagraph"/>
        <w:numPr>
          <w:ilvl w:val="0"/>
          <w:numId w:val="23"/>
        </w:numPr>
        <w:tabs>
          <w:tab w:val="left" w:pos="900"/>
        </w:tabs>
        <w:spacing w:line="276" w:lineRule="auto"/>
        <w:ind w:left="1260"/>
        <w:contextualSpacing/>
      </w:pPr>
      <w:r>
        <w:t>Describe the process involv</w:t>
      </w:r>
      <w:r w:rsidR="000C5E3A">
        <w:t xml:space="preserve">ed in implementing any required state and local </w:t>
      </w:r>
      <w:r>
        <w:t>configurations, e.g., implementation of state statutes and rules, creation of standard state documents, state calendar, etc.</w:t>
      </w:r>
      <w:r w:rsidR="00BF1E0D">
        <w:t xml:space="preserve"> I</w:t>
      </w:r>
      <w:r>
        <w:t>nclud</w:t>
      </w:r>
      <w:r w:rsidR="00BF1E0D">
        <w:t>e</w:t>
      </w:r>
      <w:r>
        <w:t xml:space="preserve"> any Court personnel required to accomplish the task.</w:t>
      </w:r>
    </w:p>
    <w:p w:rsidR="00651E8D" w:rsidRDefault="00651E8D" w:rsidP="00B06469">
      <w:pPr>
        <w:numPr>
          <w:ilvl w:val="0"/>
          <w:numId w:val="23"/>
        </w:numPr>
        <w:tabs>
          <w:tab w:val="left" w:pos="900"/>
        </w:tabs>
        <w:ind w:left="1260"/>
      </w:pPr>
      <w:r>
        <w:t xml:space="preserve">Describe the process involved in assessing and recommending the required </w:t>
      </w:r>
      <w:r w:rsidRPr="00195A30">
        <w:t>hardware</w:t>
      </w:r>
      <w:r>
        <w:t xml:space="preserve"> and </w:t>
      </w:r>
      <w:r w:rsidRPr="00195A30">
        <w:t>software</w:t>
      </w:r>
      <w:r>
        <w:t xml:space="preserve"> that will ensure </w:t>
      </w:r>
      <w:r w:rsidR="000C5E3A">
        <w:t xml:space="preserve">improved </w:t>
      </w:r>
      <w:r>
        <w:t xml:space="preserve">performance for the end-users is </w:t>
      </w:r>
      <w:r w:rsidR="004C3178">
        <w:t>achieved</w:t>
      </w:r>
      <w:r>
        <w:t xml:space="preserve">, and that </w:t>
      </w:r>
      <w:r w:rsidR="0010209E">
        <w:t xml:space="preserve">it </w:t>
      </w:r>
      <w:r>
        <w:t>is scalable t</w:t>
      </w:r>
      <w:r w:rsidR="006230B7">
        <w:t>o meet the future needs of the C</w:t>
      </w:r>
      <w:r>
        <w:t>ourt</w:t>
      </w:r>
      <w:r w:rsidR="0010209E">
        <w:t>.</w:t>
      </w:r>
    </w:p>
    <w:p w:rsidR="007954AF" w:rsidRDefault="007954AF" w:rsidP="00651E8D">
      <w:pPr>
        <w:widowControl w:val="0"/>
      </w:pPr>
    </w:p>
    <w:p w:rsidR="00B855CB" w:rsidRPr="007954AF" w:rsidRDefault="00651E8D" w:rsidP="007954AF">
      <w:pPr>
        <w:pStyle w:val="ListParagraph"/>
        <w:widowControl w:val="0"/>
        <w:numPr>
          <w:ilvl w:val="0"/>
          <w:numId w:val="48"/>
        </w:numPr>
        <w:rPr>
          <w:b/>
          <w:bCs/>
        </w:rPr>
      </w:pPr>
      <w:r w:rsidRPr="007954AF">
        <w:rPr>
          <w:b/>
          <w:bCs/>
        </w:rPr>
        <w:t>ROLES &amp; RESPONSIBILITIES</w:t>
      </w:r>
    </w:p>
    <w:p w:rsidR="007954AF" w:rsidRDefault="007954AF" w:rsidP="00122B6C">
      <w:pPr>
        <w:widowControl w:val="0"/>
        <w:ind w:left="360"/>
        <w:rPr>
          <w:b/>
          <w:bCs/>
        </w:rPr>
      </w:pPr>
    </w:p>
    <w:p w:rsidR="00651E8D" w:rsidRPr="007954AF" w:rsidRDefault="00651E8D" w:rsidP="007954AF">
      <w:pPr>
        <w:pStyle w:val="ListParagraph"/>
        <w:widowControl w:val="0"/>
        <w:numPr>
          <w:ilvl w:val="1"/>
          <w:numId w:val="48"/>
        </w:numPr>
        <w:rPr>
          <w:b/>
          <w:bCs/>
          <w:iCs/>
        </w:rPr>
      </w:pPr>
      <w:r w:rsidRPr="007954AF">
        <w:rPr>
          <w:b/>
          <w:bCs/>
          <w:iCs/>
          <w:u w:val="single"/>
        </w:rPr>
        <w:t xml:space="preserve">Vendor Roles and </w:t>
      </w:r>
      <w:r w:rsidR="00692CDD" w:rsidRPr="007954AF">
        <w:rPr>
          <w:b/>
          <w:bCs/>
          <w:iCs/>
          <w:u w:val="single"/>
        </w:rPr>
        <w:t>Function</w:t>
      </w:r>
    </w:p>
    <w:p w:rsidR="00651E8D" w:rsidRPr="00FC71BC" w:rsidRDefault="00651E8D" w:rsidP="00651E8D">
      <w:pPr>
        <w:widowControl w:val="0"/>
        <w:rPr>
          <w:bCs/>
        </w:rPr>
      </w:pPr>
      <w:r>
        <w:rPr>
          <w:b/>
          <w:bCs/>
        </w:rPr>
        <w:tab/>
      </w:r>
      <w:r w:rsidRPr="008D485D">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7560"/>
      </w:tblGrid>
      <w:tr w:rsidR="00651E8D" w:rsidRPr="008D485D" w:rsidTr="007A3FA7">
        <w:tc>
          <w:tcPr>
            <w:tcW w:w="0" w:type="auto"/>
          </w:tcPr>
          <w:p w:rsidR="00651E8D" w:rsidRPr="008D485D" w:rsidRDefault="00651E8D" w:rsidP="00651E8D">
            <w:pPr>
              <w:widowControl w:val="0"/>
              <w:rPr>
                <w:bCs/>
                <w:u w:val="single"/>
              </w:rPr>
            </w:pPr>
            <w:r w:rsidRPr="008D485D">
              <w:rPr>
                <w:bCs/>
                <w:u w:val="single"/>
              </w:rPr>
              <w:t>Role</w:t>
            </w:r>
          </w:p>
        </w:tc>
        <w:tc>
          <w:tcPr>
            <w:tcW w:w="0" w:type="auto"/>
          </w:tcPr>
          <w:p w:rsidR="00651E8D" w:rsidRPr="008D485D" w:rsidRDefault="00692CDD" w:rsidP="00651E8D">
            <w:pPr>
              <w:widowControl w:val="0"/>
              <w:rPr>
                <w:bCs/>
                <w:u w:val="single"/>
              </w:rPr>
            </w:pPr>
            <w:r>
              <w:rPr>
                <w:bCs/>
                <w:u w:val="single"/>
              </w:rPr>
              <w:t xml:space="preserve">Function </w:t>
            </w:r>
          </w:p>
        </w:tc>
      </w:tr>
      <w:tr w:rsidR="00651E8D" w:rsidRPr="008D485D" w:rsidTr="007A3FA7">
        <w:tc>
          <w:tcPr>
            <w:tcW w:w="0" w:type="auto"/>
          </w:tcPr>
          <w:p w:rsidR="00651E8D" w:rsidRPr="008D485D" w:rsidRDefault="00651E8D" w:rsidP="00651E8D">
            <w:pPr>
              <w:widowControl w:val="0"/>
              <w:rPr>
                <w:bCs/>
              </w:rPr>
            </w:pPr>
            <w:r w:rsidRPr="008D485D">
              <w:rPr>
                <w:bCs/>
              </w:rPr>
              <w:t>Project Sponsor</w:t>
            </w:r>
          </w:p>
        </w:tc>
        <w:tc>
          <w:tcPr>
            <w:tcW w:w="0" w:type="auto"/>
          </w:tcPr>
          <w:p w:rsidR="00651E8D" w:rsidRPr="008D485D" w:rsidRDefault="00651E8D" w:rsidP="00651E8D">
            <w:pPr>
              <w:widowControl w:val="0"/>
              <w:rPr>
                <w:bCs/>
              </w:rPr>
            </w:pPr>
            <w:r w:rsidRPr="008D485D">
              <w:rPr>
                <w:bCs/>
              </w:rPr>
              <w:t>The Project Sponsor will provide executive oversight and the following:</w:t>
            </w:r>
          </w:p>
          <w:p w:rsidR="00651E8D" w:rsidRPr="008D485D" w:rsidRDefault="00651E8D" w:rsidP="00651E8D">
            <w:pPr>
              <w:widowControl w:val="0"/>
              <w:numPr>
                <w:ilvl w:val="0"/>
                <w:numId w:val="35"/>
              </w:numPr>
              <w:rPr>
                <w:bCs/>
              </w:rPr>
            </w:pPr>
            <w:r w:rsidRPr="008D485D">
              <w:rPr>
                <w:bCs/>
              </w:rPr>
              <w:t>Leadership and resources to support project success</w:t>
            </w:r>
          </w:p>
          <w:p w:rsidR="00651E8D" w:rsidRPr="004D61B8" w:rsidRDefault="00651E8D" w:rsidP="00651E8D">
            <w:pPr>
              <w:widowControl w:val="0"/>
              <w:numPr>
                <w:ilvl w:val="0"/>
                <w:numId w:val="35"/>
              </w:numPr>
              <w:rPr>
                <w:bCs/>
              </w:rPr>
            </w:pPr>
            <w:r w:rsidRPr="008D485D">
              <w:rPr>
                <w:bCs/>
              </w:rPr>
              <w:t>Participation in escalation discussions as appropriate</w:t>
            </w:r>
          </w:p>
        </w:tc>
      </w:tr>
      <w:tr w:rsidR="00651E8D" w:rsidRPr="008D485D" w:rsidTr="007A3FA7">
        <w:tc>
          <w:tcPr>
            <w:tcW w:w="0" w:type="auto"/>
          </w:tcPr>
          <w:p w:rsidR="00651E8D" w:rsidRPr="008D485D" w:rsidRDefault="00651E8D" w:rsidP="00651E8D">
            <w:pPr>
              <w:widowControl w:val="0"/>
              <w:rPr>
                <w:bCs/>
              </w:rPr>
            </w:pPr>
            <w:r w:rsidRPr="008D485D">
              <w:rPr>
                <w:bCs/>
              </w:rPr>
              <w:t>Project Manager</w:t>
            </w:r>
          </w:p>
        </w:tc>
        <w:tc>
          <w:tcPr>
            <w:tcW w:w="0" w:type="auto"/>
          </w:tcPr>
          <w:p w:rsidR="00651E8D" w:rsidRPr="008D485D" w:rsidRDefault="00651E8D" w:rsidP="00651E8D">
            <w:pPr>
              <w:widowControl w:val="0"/>
              <w:rPr>
                <w:bCs/>
              </w:rPr>
            </w:pPr>
            <w:r w:rsidRPr="008D485D">
              <w:rPr>
                <w:bCs/>
              </w:rPr>
              <w:t>The Project Manager will plan and manage delivery of tasks as specified. The Project Manager is responsible for:</w:t>
            </w:r>
          </w:p>
          <w:p w:rsidR="00651E8D" w:rsidRPr="008D485D" w:rsidRDefault="00651E8D" w:rsidP="00651E8D">
            <w:pPr>
              <w:widowControl w:val="0"/>
              <w:numPr>
                <w:ilvl w:val="0"/>
                <w:numId w:val="35"/>
              </w:numPr>
              <w:rPr>
                <w:bCs/>
              </w:rPr>
            </w:pPr>
            <w:r w:rsidRPr="008D485D">
              <w:rPr>
                <w:bCs/>
              </w:rPr>
              <w:t>Managing vendor responsibilities and resources throughout the full project life cycle</w:t>
            </w:r>
          </w:p>
          <w:p w:rsidR="00651E8D" w:rsidRPr="008D485D" w:rsidRDefault="00651E8D" w:rsidP="00651E8D">
            <w:pPr>
              <w:widowControl w:val="0"/>
              <w:numPr>
                <w:ilvl w:val="0"/>
                <w:numId w:val="35"/>
              </w:numPr>
              <w:rPr>
                <w:bCs/>
              </w:rPr>
            </w:pPr>
            <w:r w:rsidRPr="008D485D">
              <w:rPr>
                <w:bCs/>
              </w:rPr>
              <w:t>Ensuring all activities are coordinated with Court resources</w:t>
            </w:r>
          </w:p>
        </w:tc>
      </w:tr>
      <w:tr w:rsidR="00651E8D" w:rsidRPr="008D485D" w:rsidTr="007A3FA7">
        <w:tc>
          <w:tcPr>
            <w:tcW w:w="0" w:type="auto"/>
          </w:tcPr>
          <w:p w:rsidR="00651E8D" w:rsidRPr="008D485D" w:rsidRDefault="00651E8D" w:rsidP="00651E8D">
            <w:pPr>
              <w:widowControl w:val="0"/>
              <w:rPr>
                <w:bCs/>
              </w:rPr>
            </w:pPr>
            <w:r w:rsidRPr="008D485D">
              <w:rPr>
                <w:bCs/>
              </w:rPr>
              <w:t>Architect</w:t>
            </w:r>
          </w:p>
        </w:tc>
        <w:tc>
          <w:tcPr>
            <w:tcW w:w="0" w:type="auto"/>
          </w:tcPr>
          <w:p w:rsidR="00651E8D" w:rsidRPr="008D485D" w:rsidRDefault="00651E8D" w:rsidP="00692CDD">
            <w:pPr>
              <w:widowControl w:val="0"/>
              <w:rPr>
                <w:bCs/>
              </w:rPr>
            </w:pPr>
            <w:r w:rsidRPr="008D485D">
              <w:rPr>
                <w:bCs/>
              </w:rPr>
              <w:t>The Architect will provide technical</w:t>
            </w:r>
            <w:r w:rsidR="00B7553E">
              <w:rPr>
                <w:bCs/>
              </w:rPr>
              <w:t xml:space="preserve"> </w:t>
            </w:r>
            <w:r w:rsidRPr="008D485D">
              <w:rPr>
                <w:bCs/>
              </w:rPr>
              <w:t>leadership as well as be</w:t>
            </w:r>
            <w:r w:rsidR="00432F17">
              <w:rPr>
                <w:bCs/>
              </w:rPr>
              <w:t xml:space="preserve"> responsible for the design, hardware and software acquisition list, build instructions</w:t>
            </w:r>
            <w:r w:rsidR="00942152">
              <w:rPr>
                <w:bCs/>
              </w:rPr>
              <w:t xml:space="preserve"> of the </w:t>
            </w:r>
            <w:r w:rsidR="00432F17">
              <w:rPr>
                <w:bCs/>
              </w:rPr>
              <w:t xml:space="preserve">CMS and DMS </w:t>
            </w:r>
            <w:r w:rsidRPr="008D485D">
              <w:rPr>
                <w:bCs/>
              </w:rPr>
              <w:t>solution</w:t>
            </w:r>
            <w:r w:rsidR="004C3178">
              <w:rPr>
                <w:bCs/>
              </w:rPr>
              <w:t>,</w:t>
            </w:r>
            <w:r w:rsidRPr="008D485D">
              <w:rPr>
                <w:bCs/>
              </w:rPr>
              <w:t xml:space="preserve"> and the associated implementation tasks. </w:t>
            </w:r>
          </w:p>
        </w:tc>
      </w:tr>
      <w:tr w:rsidR="00651E8D" w:rsidRPr="008D485D" w:rsidTr="007A3FA7">
        <w:tc>
          <w:tcPr>
            <w:tcW w:w="0" w:type="auto"/>
          </w:tcPr>
          <w:p w:rsidR="00651E8D" w:rsidRPr="008D485D" w:rsidRDefault="00651E8D" w:rsidP="00651E8D">
            <w:pPr>
              <w:widowControl w:val="0"/>
              <w:rPr>
                <w:bCs/>
              </w:rPr>
            </w:pPr>
            <w:r w:rsidRPr="008D485D">
              <w:rPr>
                <w:bCs/>
              </w:rPr>
              <w:t>Business resources (configuration)</w:t>
            </w:r>
          </w:p>
        </w:tc>
        <w:tc>
          <w:tcPr>
            <w:tcW w:w="0" w:type="auto"/>
          </w:tcPr>
          <w:p w:rsidR="00651E8D" w:rsidRPr="008D485D" w:rsidRDefault="00657EA4" w:rsidP="00651E8D">
            <w:pPr>
              <w:widowControl w:val="0"/>
              <w:rPr>
                <w:bCs/>
              </w:rPr>
            </w:pPr>
            <w:r>
              <w:rPr>
                <w:bCs/>
              </w:rPr>
              <w:t>The Business r</w:t>
            </w:r>
            <w:r w:rsidR="00651E8D" w:rsidRPr="008D485D">
              <w:rPr>
                <w:bCs/>
              </w:rPr>
              <w:t>esources will provide the business expertise in case management, as well as business analysis experience with “as-is” and “to-be” systems. These resources will also bring field expert</w:t>
            </w:r>
            <w:r w:rsidR="00651E8D">
              <w:rPr>
                <w:bCs/>
              </w:rPr>
              <w:t xml:space="preserve">ise in implementing interfaces </w:t>
            </w:r>
            <w:r w:rsidR="00651E8D" w:rsidRPr="008D485D">
              <w:rPr>
                <w:bCs/>
              </w:rPr>
              <w:t xml:space="preserve">as well as development of business rules, workflows and reports. These resources will be responsible for transitioning </w:t>
            </w:r>
            <w:r w:rsidR="00651E8D">
              <w:rPr>
                <w:bCs/>
              </w:rPr>
              <w:t>CMS</w:t>
            </w:r>
            <w:r w:rsidR="00651E8D" w:rsidRPr="008D485D">
              <w:rPr>
                <w:bCs/>
              </w:rPr>
              <w:t xml:space="preserve"> knowledge to Court staff over the course of the entire project.</w:t>
            </w:r>
          </w:p>
        </w:tc>
      </w:tr>
      <w:tr w:rsidR="00651E8D" w:rsidRPr="008D485D" w:rsidTr="007A3FA7">
        <w:tc>
          <w:tcPr>
            <w:tcW w:w="0" w:type="auto"/>
          </w:tcPr>
          <w:p w:rsidR="00651E8D" w:rsidRPr="008D485D" w:rsidRDefault="00651E8D" w:rsidP="00651E8D">
            <w:pPr>
              <w:widowControl w:val="0"/>
              <w:rPr>
                <w:bCs/>
              </w:rPr>
            </w:pPr>
            <w:r w:rsidRPr="008D485D">
              <w:rPr>
                <w:bCs/>
              </w:rPr>
              <w:t>Testing resources</w:t>
            </w:r>
          </w:p>
        </w:tc>
        <w:tc>
          <w:tcPr>
            <w:tcW w:w="0" w:type="auto"/>
          </w:tcPr>
          <w:p w:rsidR="00651E8D" w:rsidRDefault="00651E8D" w:rsidP="00651E8D">
            <w:pPr>
              <w:rPr>
                <w:bCs/>
              </w:rPr>
            </w:pPr>
            <w:r w:rsidRPr="00384C16">
              <w:rPr>
                <w:bCs/>
              </w:rPr>
              <w:t xml:space="preserve">The </w:t>
            </w:r>
            <w:r w:rsidR="00657EA4">
              <w:rPr>
                <w:bCs/>
              </w:rPr>
              <w:t>Testing r</w:t>
            </w:r>
            <w:r>
              <w:rPr>
                <w:bCs/>
              </w:rPr>
              <w:t>esources will:</w:t>
            </w:r>
          </w:p>
          <w:p w:rsidR="00942152" w:rsidRPr="00942152" w:rsidRDefault="00651E8D" w:rsidP="00942152">
            <w:pPr>
              <w:pStyle w:val="ListParagraph"/>
              <w:numPr>
                <w:ilvl w:val="0"/>
                <w:numId w:val="39"/>
              </w:numPr>
              <w:spacing w:line="276" w:lineRule="auto"/>
              <w:contextualSpacing/>
              <w:rPr>
                <w:bCs/>
              </w:rPr>
            </w:pPr>
            <w:r>
              <w:rPr>
                <w:bCs/>
              </w:rPr>
              <w:t>Execute f</w:t>
            </w:r>
            <w:r w:rsidRPr="00173BF6">
              <w:rPr>
                <w:bCs/>
              </w:rPr>
              <w:t xml:space="preserve">unctional testing of the core CMS </w:t>
            </w:r>
            <w:r w:rsidR="00942152">
              <w:rPr>
                <w:bCs/>
              </w:rPr>
              <w:t xml:space="preserve">and DMS </w:t>
            </w:r>
            <w:r w:rsidRPr="00173BF6">
              <w:rPr>
                <w:bCs/>
              </w:rPr>
              <w:t>application</w:t>
            </w:r>
            <w:r w:rsidR="004C3178">
              <w:rPr>
                <w:bCs/>
              </w:rPr>
              <w:t>s</w:t>
            </w:r>
            <w:r w:rsidRPr="00173BF6">
              <w:rPr>
                <w:bCs/>
              </w:rPr>
              <w:t xml:space="preserve"> against the functional requirements </w:t>
            </w:r>
            <w:r w:rsidR="0018567A">
              <w:rPr>
                <w:bCs/>
              </w:rPr>
              <w:t xml:space="preserve">detailed in </w:t>
            </w:r>
            <w:r w:rsidR="0018567A" w:rsidRPr="0018567A">
              <w:t>Attachment 7</w:t>
            </w:r>
            <w:r w:rsidR="0018567A">
              <w:rPr>
                <w:bCs/>
              </w:rPr>
              <w:t xml:space="preserve"> </w:t>
            </w:r>
            <w:r w:rsidRPr="00173BF6">
              <w:rPr>
                <w:bCs/>
              </w:rPr>
              <w:t>(including that which represents functionality provided by the Court’s current CMS configuration</w:t>
            </w:r>
            <w:r w:rsidR="00760D55">
              <w:rPr>
                <w:bCs/>
              </w:rPr>
              <w:t>—i</w:t>
            </w:r>
            <w:r w:rsidRPr="00173BF6">
              <w:rPr>
                <w:bCs/>
              </w:rPr>
              <w:t>ncluding but not limited to all extracts and interfaces</w:t>
            </w:r>
            <w:r w:rsidR="00760D55">
              <w:rPr>
                <w:bCs/>
              </w:rPr>
              <w:t>—p</w:t>
            </w:r>
            <w:r w:rsidRPr="00173BF6">
              <w:rPr>
                <w:bCs/>
              </w:rPr>
              <w:t xml:space="preserve">lus additional </w:t>
            </w:r>
            <w:r w:rsidR="006230B7">
              <w:rPr>
                <w:bCs/>
              </w:rPr>
              <w:t>functionality available to the C</w:t>
            </w:r>
            <w:r w:rsidRPr="00173BF6">
              <w:rPr>
                <w:bCs/>
              </w:rPr>
              <w:t>ourt, except where explicitly agreed to by both Court and vendor)</w:t>
            </w:r>
          </w:p>
          <w:p w:rsidR="00651E8D" w:rsidRPr="00173BF6" w:rsidRDefault="00651E8D" w:rsidP="00651E8D">
            <w:pPr>
              <w:pStyle w:val="ListParagraph"/>
              <w:numPr>
                <w:ilvl w:val="0"/>
                <w:numId w:val="39"/>
              </w:numPr>
              <w:spacing w:line="276" w:lineRule="auto"/>
              <w:contextualSpacing/>
              <w:rPr>
                <w:bCs/>
              </w:rPr>
            </w:pPr>
            <w:r w:rsidRPr="00173BF6">
              <w:rPr>
                <w:bCs/>
              </w:rPr>
              <w:t>Support testing of the Court-specific configuration</w:t>
            </w:r>
          </w:p>
          <w:p w:rsidR="00651E8D" w:rsidRPr="00173BF6" w:rsidRDefault="006230B7" w:rsidP="00651E8D">
            <w:pPr>
              <w:pStyle w:val="ListParagraph"/>
              <w:numPr>
                <w:ilvl w:val="0"/>
                <w:numId w:val="39"/>
              </w:numPr>
              <w:spacing w:line="276" w:lineRule="auto"/>
              <w:contextualSpacing/>
              <w:rPr>
                <w:bCs/>
              </w:rPr>
            </w:pPr>
            <w:r>
              <w:rPr>
                <w:bCs/>
              </w:rPr>
              <w:t>Work with C</w:t>
            </w:r>
            <w:r w:rsidR="00651E8D" w:rsidRPr="00173BF6">
              <w:rPr>
                <w:bCs/>
              </w:rPr>
              <w:t>ourt Subject Matter Experts by providing test scripts and coordinating each test phase</w:t>
            </w:r>
            <w:r w:rsidR="00760D55">
              <w:rPr>
                <w:bCs/>
              </w:rPr>
              <w:t xml:space="preserve"> (i</w:t>
            </w:r>
            <w:r w:rsidR="00651E8D" w:rsidRPr="00173BF6">
              <w:rPr>
                <w:bCs/>
              </w:rPr>
              <w:t>nclud</w:t>
            </w:r>
            <w:r w:rsidR="0010209E">
              <w:rPr>
                <w:bCs/>
              </w:rPr>
              <w:t>ing</w:t>
            </w:r>
            <w:r w:rsidR="00651E8D" w:rsidRPr="00173BF6">
              <w:rPr>
                <w:bCs/>
              </w:rPr>
              <w:t xml:space="preserve"> unit testing, integration testing, and user acceptance testing</w:t>
            </w:r>
            <w:r w:rsidR="00760D55">
              <w:rPr>
                <w:bCs/>
              </w:rPr>
              <w:t>)</w:t>
            </w:r>
          </w:p>
          <w:p w:rsidR="00651E8D" w:rsidRPr="00B042CA" w:rsidRDefault="00651E8D" w:rsidP="00651E8D">
            <w:pPr>
              <w:pStyle w:val="ListParagraph"/>
              <w:numPr>
                <w:ilvl w:val="0"/>
                <w:numId w:val="39"/>
              </w:numPr>
              <w:spacing w:line="276" w:lineRule="auto"/>
              <w:contextualSpacing/>
            </w:pPr>
            <w:r>
              <w:rPr>
                <w:bCs/>
              </w:rPr>
              <w:t xml:space="preserve">Validate </w:t>
            </w:r>
            <w:r w:rsidRPr="00173BF6">
              <w:rPr>
                <w:bCs/>
              </w:rPr>
              <w:t>expected results</w:t>
            </w:r>
          </w:p>
        </w:tc>
      </w:tr>
      <w:tr w:rsidR="00651E8D" w:rsidRPr="008D485D" w:rsidTr="007A3FA7">
        <w:tc>
          <w:tcPr>
            <w:tcW w:w="0" w:type="auto"/>
          </w:tcPr>
          <w:p w:rsidR="00651E8D" w:rsidRPr="008D485D" w:rsidRDefault="00651E8D" w:rsidP="00651E8D">
            <w:pPr>
              <w:widowControl w:val="0"/>
              <w:rPr>
                <w:bCs/>
              </w:rPr>
            </w:pPr>
            <w:r w:rsidRPr="008D485D">
              <w:rPr>
                <w:bCs/>
              </w:rPr>
              <w:t>Programming resource</w:t>
            </w:r>
          </w:p>
        </w:tc>
        <w:tc>
          <w:tcPr>
            <w:tcW w:w="0" w:type="auto"/>
          </w:tcPr>
          <w:p w:rsidR="00651E8D" w:rsidRPr="008D485D" w:rsidRDefault="00651E8D" w:rsidP="00651E8D">
            <w:pPr>
              <w:widowControl w:val="0"/>
              <w:rPr>
                <w:bCs/>
              </w:rPr>
            </w:pPr>
            <w:r>
              <w:rPr>
                <w:bCs/>
              </w:rPr>
              <w:t>The Programming r</w:t>
            </w:r>
            <w:r w:rsidRPr="008D485D">
              <w:rPr>
                <w:bCs/>
              </w:rPr>
              <w:t>esource</w:t>
            </w:r>
            <w:r>
              <w:rPr>
                <w:bCs/>
              </w:rPr>
              <w:t>s</w:t>
            </w:r>
            <w:r w:rsidRPr="008D485D">
              <w:rPr>
                <w:bCs/>
              </w:rPr>
              <w:t xml:space="preserve"> will provide expertise in development of the core CMS application, as well as support for configuration items and required interfaces.   </w:t>
            </w:r>
          </w:p>
        </w:tc>
      </w:tr>
    </w:tbl>
    <w:p w:rsidR="0072371D" w:rsidRDefault="0072371D" w:rsidP="00651E8D">
      <w:pPr>
        <w:widowControl w:val="0"/>
        <w:rPr>
          <w:bCs/>
        </w:rPr>
      </w:pPr>
      <w:bookmarkStart w:id="0" w:name="_Toc282159793"/>
      <w:bookmarkStart w:id="1" w:name="_Toc294793798"/>
    </w:p>
    <w:p w:rsidR="00651E8D" w:rsidRPr="007954AF" w:rsidRDefault="00651E8D" w:rsidP="007954AF">
      <w:pPr>
        <w:pStyle w:val="ListParagraph"/>
        <w:widowControl w:val="0"/>
        <w:numPr>
          <w:ilvl w:val="1"/>
          <w:numId w:val="48"/>
        </w:numPr>
        <w:rPr>
          <w:b/>
          <w:bCs/>
        </w:rPr>
      </w:pPr>
      <w:r w:rsidRPr="007954AF">
        <w:rPr>
          <w:b/>
          <w:bCs/>
          <w:u w:val="single"/>
        </w:rPr>
        <w:t>Court Roles</w:t>
      </w:r>
      <w:bookmarkEnd w:id="0"/>
      <w:r w:rsidRPr="007954AF">
        <w:rPr>
          <w:b/>
          <w:bCs/>
          <w:u w:val="single"/>
        </w:rPr>
        <w:t xml:space="preserve"> and </w:t>
      </w:r>
      <w:r w:rsidR="0072371D" w:rsidRPr="007954AF">
        <w:rPr>
          <w:b/>
          <w:bCs/>
          <w:u w:val="single"/>
        </w:rPr>
        <w:t>Function</w:t>
      </w:r>
      <w:bookmarkEnd w:id="1"/>
    </w:p>
    <w:p w:rsidR="00651E8D" w:rsidRPr="008D485D" w:rsidRDefault="00651E8D" w:rsidP="00651E8D">
      <w:pPr>
        <w:widowControl w:val="0"/>
        <w:rPr>
          <w:bCs/>
        </w:rPr>
      </w:pPr>
      <w:bookmarkStart w:id="2" w:name="_Toc282159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7578"/>
      </w:tblGrid>
      <w:tr w:rsidR="00651E8D" w:rsidRPr="008D485D" w:rsidTr="00D023CB">
        <w:tc>
          <w:tcPr>
            <w:tcW w:w="1998" w:type="dxa"/>
          </w:tcPr>
          <w:p w:rsidR="00651E8D" w:rsidRPr="008D485D" w:rsidRDefault="00657EA4" w:rsidP="00651E8D">
            <w:pPr>
              <w:widowControl w:val="0"/>
              <w:rPr>
                <w:bCs/>
              </w:rPr>
            </w:pPr>
            <w:r>
              <w:rPr>
                <w:bCs/>
              </w:rPr>
              <w:t>Project Sponsor</w:t>
            </w:r>
          </w:p>
        </w:tc>
        <w:tc>
          <w:tcPr>
            <w:tcW w:w="7578" w:type="dxa"/>
          </w:tcPr>
          <w:p w:rsidR="00651E8D" w:rsidRPr="008D485D" w:rsidRDefault="00651E8D" w:rsidP="00651E8D">
            <w:pPr>
              <w:widowControl w:val="0"/>
              <w:rPr>
                <w:bCs/>
              </w:rPr>
            </w:pPr>
            <w:r w:rsidRPr="008D485D">
              <w:rPr>
                <w:bCs/>
              </w:rPr>
              <w:t>The Project Sponsor will provide executive oversight and the following:</w:t>
            </w:r>
          </w:p>
          <w:p w:rsidR="00651E8D" w:rsidRPr="008D485D" w:rsidRDefault="00651E8D" w:rsidP="00651E8D">
            <w:pPr>
              <w:widowControl w:val="0"/>
              <w:numPr>
                <w:ilvl w:val="0"/>
                <w:numId w:val="35"/>
              </w:numPr>
              <w:rPr>
                <w:bCs/>
              </w:rPr>
            </w:pPr>
            <w:r w:rsidRPr="008D485D">
              <w:rPr>
                <w:bCs/>
              </w:rPr>
              <w:t>Leadership and resources to support project success</w:t>
            </w:r>
          </w:p>
          <w:p w:rsidR="00651E8D" w:rsidRPr="00537025" w:rsidRDefault="00651E8D" w:rsidP="00651E8D">
            <w:pPr>
              <w:widowControl w:val="0"/>
              <w:numPr>
                <w:ilvl w:val="0"/>
                <w:numId w:val="35"/>
              </w:numPr>
              <w:rPr>
                <w:bCs/>
              </w:rPr>
            </w:pPr>
            <w:r w:rsidRPr="008D485D">
              <w:rPr>
                <w:bCs/>
              </w:rPr>
              <w:t>Participation in escalation discussions as appropriate</w:t>
            </w:r>
          </w:p>
        </w:tc>
      </w:tr>
      <w:tr w:rsidR="00651E8D" w:rsidRPr="008D485D" w:rsidTr="00D023CB">
        <w:tc>
          <w:tcPr>
            <w:tcW w:w="1998" w:type="dxa"/>
          </w:tcPr>
          <w:p w:rsidR="00651E8D" w:rsidRPr="008D485D" w:rsidRDefault="00651E8D" w:rsidP="00651E8D">
            <w:pPr>
              <w:widowControl w:val="0"/>
              <w:rPr>
                <w:bCs/>
              </w:rPr>
            </w:pPr>
            <w:r w:rsidRPr="008D485D">
              <w:rPr>
                <w:bCs/>
              </w:rPr>
              <w:t>Project Manager</w:t>
            </w:r>
          </w:p>
        </w:tc>
        <w:tc>
          <w:tcPr>
            <w:tcW w:w="7578" w:type="dxa"/>
          </w:tcPr>
          <w:p w:rsidR="00651E8D" w:rsidRPr="00537025" w:rsidRDefault="00651E8D" w:rsidP="00651E8D">
            <w:pPr>
              <w:widowControl w:val="0"/>
              <w:rPr>
                <w:bCs/>
              </w:rPr>
            </w:pPr>
            <w:r w:rsidRPr="008D485D">
              <w:rPr>
                <w:bCs/>
              </w:rPr>
              <w:t>The Project Manager will plan and manage delivery of tasks as specified. The Pro</w:t>
            </w:r>
            <w:r>
              <w:rPr>
                <w:bCs/>
              </w:rPr>
              <w:t>ject Manager is responsible for m</w:t>
            </w:r>
            <w:r w:rsidRPr="008D485D">
              <w:rPr>
                <w:bCs/>
              </w:rPr>
              <w:t>anaging Court responsibilities and resources throughout the full project life cycle</w:t>
            </w:r>
            <w:r>
              <w:rPr>
                <w:bCs/>
              </w:rPr>
              <w:t>.</w:t>
            </w:r>
          </w:p>
        </w:tc>
      </w:tr>
      <w:tr w:rsidR="00651E8D" w:rsidRPr="008D485D" w:rsidTr="00D023CB">
        <w:tc>
          <w:tcPr>
            <w:tcW w:w="1998" w:type="dxa"/>
          </w:tcPr>
          <w:p w:rsidR="00651E8D" w:rsidRPr="008D485D" w:rsidRDefault="00657EA4" w:rsidP="00651E8D">
            <w:pPr>
              <w:widowControl w:val="0"/>
              <w:rPr>
                <w:bCs/>
              </w:rPr>
            </w:pPr>
            <w:r>
              <w:rPr>
                <w:bCs/>
              </w:rPr>
              <w:t>Business r</w:t>
            </w:r>
            <w:r w:rsidR="00651E8D" w:rsidRPr="008D485D">
              <w:rPr>
                <w:bCs/>
              </w:rPr>
              <w:t>esources</w:t>
            </w:r>
          </w:p>
        </w:tc>
        <w:tc>
          <w:tcPr>
            <w:tcW w:w="7578" w:type="dxa"/>
          </w:tcPr>
          <w:p w:rsidR="00651E8D" w:rsidRPr="008D485D" w:rsidRDefault="00651E8D" w:rsidP="00657EA4">
            <w:pPr>
              <w:widowControl w:val="0"/>
              <w:rPr>
                <w:bCs/>
              </w:rPr>
            </w:pPr>
            <w:r w:rsidRPr="008D485D">
              <w:rPr>
                <w:bCs/>
              </w:rPr>
              <w:t>T</w:t>
            </w:r>
            <w:r w:rsidR="00657EA4">
              <w:rPr>
                <w:bCs/>
              </w:rPr>
              <w:t>he Business r</w:t>
            </w:r>
            <w:r w:rsidRPr="008D485D">
              <w:rPr>
                <w:bCs/>
              </w:rPr>
              <w:t>esources will provide the business expertise in the Court’s processing. These resources will be able to provide the vendor with case type and process-specific information for all phases of the project. Resources</w:t>
            </w:r>
            <w:r w:rsidR="00657EA4">
              <w:rPr>
                <w:bCs/>
              </w:rPr>
              <w:t>, including testing personnel,</w:t>
            </w:r>
            <w:r w:rsidRPr="008D485D">
              <w:rPr>
                <w:bCs/>
              </w:rPr>
              <w:t xml:space="preserve"> will be required specific to case</w:t>
            </w:r>
            <w:r w:rsidR="00760D55">
              <w:rPr>
                <w:bCs/>
              </w:rPr>
              <w:t>-</w:t>
            </w:r>
            <w:r w:rsidRPr="008D485D">
              <w:rPr>
                <w:bCs/>
              </w:rPr>
              <w:t>type processing, accounting processing, interface requirements, network and environment</w:t>
            </w:r>
            <w:r>
              <w:rPr>
                <w:bCs/>
              </w:rPr>
              <w:t>,</w:t>
            </w:r>
            <w:r w:rsidRPr="008D485D">
              <w:rPr>
                <w:bCs/>
              </w:rPr>
              <w:t xml:space="preserve"> and reporting. </w:t>
            </w:r>
          </w:p>
        </w:tc>
      </w:tr>
    </w:tbl>
    <w:p w:rsidR="00651E8D" w:rsidRPr="008D485D" w:rsidRDefault="00651E8D" w:rsidP="00651E8D">
      <w:pPr>
        <w:widowControl w:val="0"/>
        <w:rPr>
          <w:b/>
          <w:bCs/>
        </w:rPr>
      </w:pPr>
      <w:bookmarkStart w:id="3" w:name="_Toc282159796"/>
      <w:bookmarkStart w:id="4" w:name="_Toc294793799"/>
      <w:bookmarkStart w:id="5" w:name="_Toc282159795"/>
      <w:bookmarkEnd w:id="2"/>
    </w:p>
    <w:p w:rsidR="00651E8D" w:rsidRPr="008D485D" w:rsidRDefault="00651E8D" w:rsidP="00651E8D">
      <w:pPr>
        <w:widowControl w:val="0"/>
        <w:ind w:left="360" w:hanging="360"/>
        <w:rPr>
          <w:b/>
          <w:bCs/>
          <w:iCs/>
        </w:rPr>
      </w:pPr>
      <w:r>
        <w:rPr>
          <w:bCs/>
          <w:iCs/>
        </w:rPr>
        <w:tab/>
      </w:r>
      <w:r w:rsidRPr="00903D96">
        <w:rPr>
          <w:bCs/>
          <w:iCs/>
        </w:rPr>
        <w:t>3.3</w:t>
      </w:r>
      <w:r>
        <w:rPr>
          <w:b/>
          <w:bCs/>
          <w:iCs/>
        </w:rPr>
        <w:t xml:space="preserve"> </w:t>
      </w:r>
      <w:r w:rsidRPr="00903D96">
        <w:rPr>
          <w:b/>
          <w:bCs/>
          <w:iCs/>
          <w:u w:val="single"/>
        </w:rPr>
        <w:t>Vendor Project Responsibilities</w:t>
      </w:r>
      <w:bookmarkEnd w:id="3"/>
      <w:bookmarkEnd w:id="4"/>
    </w:p>
    <w:p w:rsidR="00651E8D" w:rsidRDefault="00760D55" w:rsidP="00651E8D">
      <w:pPr>
        <w:widowControl w:val="0"/>
        <w:ind w:left="720"/>
        <w:rPr>
          <w:bCs/>
        </w:rPr>
      </w:pPr>
      <w:r>
        <w:rPr>
          <w:bCs/>
        </w:rPr>
        <w:t>The v</w:t>
      </w:r>
      <w:r w:rsidR="00651E8D" w:rsidRPr="008D485D">
        <w:rPr>
          <w:bCs/>
        </w:rPr>
        <w:t>endor will meet the following responsibiliti</w:t>
      </w:r>
      <w:r w:rsidR="00651E8D">
        <w:rPr>
          <w:bCs/>
        </w:rPr>
        <w:t xml:space="preserve">es to support completion of </w:t>
      </w:r>
      <w:r w:rsidR="00651E8D" w:rsidRPr="008D485D">
        <w:rPr>
          <w:bCs/>
        </w:rPr>
        <w:t>project tasks and delivery schedule.</w:t>
      </w:r>
    </w:p>
    <w:p w:rsidR="00651E8D" w:rsidRPr="008D485D" w:rsidRDefault="00651E8D" w:rsidP="00651E8D">
      <w:pPr>
        <w:widowControl w:val="0"/>
        <w:ind w:left="720"/>
        <w:rPr>
          <w:bCs/>
        </w:rPr>
      </w:pPr>
    </w:p>
    <w:p w:rsidR="00651E8D" w:rsidRPr="008D485D" w:rsidRDefault="00651E8D" w:rsidP="00651E8D">
      <w:pPr>
        <w:widowControl w:val="0"/>
        <w:ind w:left="720"/>
        <w:rPr>
          <w:bCs/>
        </w:rPr>
      </w:pPr>
      <w:r w:rsidRPr="008D485D">
        <w:rPr>
          <w:bCs/>
        </w:rPr>
        <w:t>The vendor Project Manager, in collaboration with vendor resources, will:</w:t>
      </w:r>
    </w:p>
    <w:p w:rsidR="00651E8D" w:rsidRPr="008D485D" w:rsidRDefault="00651E8D" w:rsidP="00651E8D">
      <w:pPr>
        <w:pStyle w:val="ListParagraph"/>
        <w:widowControl w:val="0"/>
        <w:numPr>
          <w:ilvl w:val="0"/>
          <w:numId w:val="36"/>
        </w:numPr>
        <w:ind w:left="1080"/>
        <w:rPr>
          <w:bCs/>
        </w:rPr>
      </w:pPr>
      <w:r w:rsidRPr="008D485D">
        <w:rPr>
          <w:bCs/>
        </w:rPr>
        <w:t>Work jointly with the Court to ensure project success</w:t>
      </w:r>
    </w:p>
    <w:p w:rsidR="00651E8D" w:rsidRDefault="00651E8D" w:rsidP="00651E8D">
      <w:pPr>
        <w:pStyle w:val="ListParagraph"/>
        <w:widowControl w:val="0"/>
        <w:numPr>
          <w:ilvl w:val="0"/>
          <w:numId w:val="36"/>
        </w:numPr>
        <w:ind w:left="1080"/>
        <w:rPr>
          <w:bCs/>
        </w:rPr>
      </w:pPr>
      <w:r>
        <w:rPr>
          <w:bCs/>
        </w:rPr>
        <w:t xml:space="preserve">Develop and maintain a </w:t>
      </w:r>
      <w:r w:rsidR="00FF3664">
        <w:rPr>
          <w:bCs/>
        </w:rPr>
        <w:t>C</w:t>
      </w:r>
      <w:r>
        <w:rPr>
          <w:bCs/>
        </w:rPr>
        <w:t>ourt</w:t>
      </w:r>
      <w:r w:rsidR="00FF3664">
        <w:rPr>
          <w:bCs/>
        </w:rPr>
        <w:t>-</w:t>
      </w:r>
      <w:r>
        <w:rPr>
          <w:bCs/>
        </w:rPr>
        <w:t xml:space="preserve">approved project plan and manage necessary vendor and </w:t>
      </w:r>
      <w:r w:rsidR="00FF3664">
        <w:rPr>
          <w:bCs/>
        </w:rPr>
        <w:t>C</w:t>
      </w:r>
      <w:r>
        <w:rPr>
          <w:bCs/>
        </w:rPr>
        <w:t>ourt resources with assistance from the Court Project Manager</w:t>
      </w:r>
    </w:p>
    <w:p w:rsidR="00651E8D" w:rsidRPr="008D485D" w:rsidRDefault="00651E8D" w:rsidP="00651E8D">
      <w:pPr>
        <w:pStyle w:val="ListParagraph"/>
        <w:widowControl w:val="0"/>
        <w:numPr>
          <w:ilvl w:val="0"/>
          <w:numId w:val="36"/>
        </w:numPr>
        <w:ind w:left="1080"/>
        <w:rPr>
          <w:bCs/>
        </w:rPr>
      </w:pPr>
      <w:r>
        <w:rPr>
          <w:bCs/>
        </w:rPr>
        <w:t>Develop and e</w:t>
      </w:r>
      <w:r w:rsidRPr="008D485D">
        <w:rPr>
          <w:bCs/>
        </w:rPr>
        <w:t>nsure timely completion of all necessary tasks required to meet the project delivery schedule</w:t>
      </w:r>
    </w:p>
    <w:p w:rsidR="00651E8D" w:rsidRPr="008D485D" w:rsidRDefault="00651E8D" w:rsidP="00651E8D">
      <w:pPr>
        <w:pStyle w:val="ListParagraph"/>
        <w:widowControl w:val="0"/>
        <w:numPr>
          <w:ilvl w:val="0"/>
          <w:numId w:val="36"/>
        </w:numPr>
        <w:ind w:left="1080"/>
        <w:rPr>
          <w:bCs/>
        </w:rPr>
      </w:pPr>
      <w:r w:rsidRPr="008D485D">
        <w:rPr>
          <w:bCs/>
        </w:rPr>
        <w:t>Provide</w:t>
      </w:r>
      <w:r>
        <w:rPr>
          <w:bCs/>
        </w:rPr>
        <w:t xml:space="preserve"> necessary</w:t>
      </w:r>
      <w:r w:rsidRPr="008D485D">
        <w:rPr>
          <w:bCs/>
        </w:rPr>
        <w:t xml:space="preserve"> assistance and support to the Court Project Manager regarding issues requiring CMS</w:t>
      </w:r>
      <w:r w:rsidR="00A00368">
        <w:rPr>
          <w:bCs/>
        </w:rPr>
        <w:t xml:space="preserve"> and DMS</w:t>
      </w:r>
      <w:r w:rsidR="00A549A0">
        <w:rPr>
          <w:bCs/>
        </w:rPr>
        <w:t xml:space="preserve"> </w:t>
      </w:r>
      <w:r w:rsidRPr="008D485D">
        <w:rPr>
          <w:bCs/>
        </w:rPr>
        <w:t>im</w:t>
      </w:r>
      <w:r>
        <w:rPr>
          <w:bCs/>
        </w:rPr>
        <w:t>plementation decisions</w:t>
      </w:r>
    </w:p>
    <w:p w:rsidR="00651E8D" w:rsidRPr="008D485D" w:rsidRDefault="00651E8D" w:rsidP="00651E8D">
      <w:pPr>
        <w:pStyle w:val="ListParagraph"/>
        <w:widowControl w:val="0"/>
        <w:numPr>
          <w:ilvl w:val="0"/>
          <w:numId w:val="36"/>
        </w:numPr>
        <w:ind w:left="1080"/>
        <w:rPr>
          <w:bCs/>
        </w:rPr>
      </w:pPr>
      <w:r w:rsidRPr="008D485D">
        <w:rPr>
          <w:bCs/>
        </w:rPr>
        <w:t>Have knowledge of Court standards, procedures and business processes, as generally implemented in the industry, and be able to designate</w:t>
      </w:r>
      <w:r>
        <w:rPr>
          <w:bCs/>
        </w:rPr>
        <w:t xml:space="preserve"> vendor</w:t>
      </w:r>
      <w:r w:rsidRPr="008D485D">
        <w:rPr>
          <w:bCs/>
        </w:rPr>
        <w:t xml:space="preserve"> support personnel who may be required </w:t>
      </w:r>
      <w:r>
        <w:rPr>
          <w:bCs/>
        </w:rPr>
        <w:t>to participate on project teams</w:t>
      </w:r>
    </w:p>
    <w:p w:rsidR="00651E8D" w:rsidRPr="008D485D" w:rsidRDefault="00651E8D" w:rsidP="00651E8D">
      <w:pPr>
        <w:pStyle w:val="ListParagraph"/>
        <w:widowControl w:val="0"/>
        <w:numPr>
          <w:ilvl w:val="0"/>
          <w:numId w:val="36"/>
        </w:numPr>
        <w:ind w:left="1080"/>
        <w:rPr>
          <w:bCs/>
        </w:rPr>
      </w:pPr>
      <w:r w:rsidRPr="008D485D">
        <w:rPr>
          <w:bCs/>
        </w:rPr>
        <w:t>Keep the Court Project Manager apprised of business, organizational and technical issues that may have an impact on the performance and delivery of this project</w:t>
      </w:r>
    </w:p>
    <w:p w:rsidR="00A549A0" w:rsidRDefault="00651E8D" w:rsidP="00A549A0">
      <w:pPr>
        <w:pStyle w:val="ListParagraph"/>
        <w:widowControl w:val="0"/>
        <w:numPr>
          <w:ilvl w:val="0"/>
          <w:numId w:val="36"/>
        </w:numPr>
        <w:ind w:left="1080"/>
        <w:rPr>
          <w:bCs/>
        </w:rPr>
      </w:pPr>
      <w:r w:rsidRPr="008D485D">
        <w:rPr>
          <w:bCs/>
        </w:rPr>
        <w:t>Work with the Court Project Manager on issues and risks that may cause delays in the delivery schedule</w:t>
      </w:r>
    </w:p>
    <w:p w:rsidR="00CA431F" w:rsidRPr="00141D56" w:rsidRDefault="006E3C80" w:rsidP="00A549A0">
      <w:pPr>
        <w:pStyle w:val="ListParagraph"/>
        <w:widowControl w:val="0"/>
        <w:numPr>
          <w:ilvl w:val="0"/>
          <w:numId w:val="36"/>
        </w:numPr>
        <w:ind w:left="1080"/>
        <w:rPr>
          <w:bCs/>
        </w:rPr>
      </w:pPr>
      <w:r w:rsidRPr="00141D56">
        <w:rPr>
          <w:bCs/>
        </w:rPr>
        <w:t>M</w:t>
      </w:r>
      <w:r w:rsidR="00CA431F" w:rsidRPr="00141D56">
        <w:rPr>
          <w:bCs/>
        </w:rPr>
        <w:t>aintain issue and resolution documentation and provide status reports</w:t>
      </w:r>
    </w:p>
    <w:p w:rsidR="00A549A0" w:rsidRPr="00A549A0" w:rsidRDefault="00141D56" w:rsidP="00A549A0">
      <w:pPr>
        <w:pStyle w:val="ListParagraph"/>
        <w:widowControl w:val="0"/>
        <w:numPr>
          <w:ilvl w:val="0"/>
          <w:numId w:val="36"/>
        </w:numPr>
        <w:ind w:left="1080"/>
        <w:rPr>
          <w:bCs/>
        </w:rPr>
      </w:pPr>
      <w:r w:rsidRPr="00141D56">
        <w:rPr>
          <w:bCs/>
        </w:rPr>
        <w:t>A</w:t>
      </w:r>
      <w:r w:rsidR="00A549A0" w:rsidRPr="00141D56">
        <w:rPr>
          <w:bCs/>
        </w:rPr>
        <w:t>gree to timely resolution of issues and completion of tasks within the Vendor’s scope of responsibility that are causing delay to the delivery schedul</w:t>
      </w:r>
      <w:r w:rsidR="00A549A0" w:rsidRPr="00A549A0">
        <w:rPr>
          <w:bCs/>
        </w:rPr>
        <w:t>e</w:t>
      </w:r>
    </w:p>
    <w:p w:rsidR="00C060B5" w:rsidRDefault="00C060B5">
      <w:pPr>
        <w:widowControl w:val="0"/>
        <w:rPr>
          <w:bCs/>
        </w:rPr>
      </w:pPr>
    </w:p>
    <w:p w:rsidR="00FF3664" w:rsidRDefault="00651E8D" w:rsidP="00122B6C">
      <w:pPr>
        <w:widowControl w:val="0"/>
        <w:ind w:left="720" w:hanging="360"/>
        <w:rPr>
          <w:b/>
          <w:bCs/>
          <w:iCs/>
        </w:rPr>
      </w:pPr>
      <w:bookmarkStart w:id="6" w:name="_Toc294793800"/>
      <w:r w:rsidRPr="00903D96">
        <w:rPr>
          <w:bCs/>
          <w:iCs/>
        </w:rPr>
        <w:t>3.4</w:t>
      </w:r>
      <w:r>
        <w:rPr>
          <w:b/>
          <w:bCs/>
          <w:iCs/>
        </w:rPr>
        <w:t xml:space="preserve"> </w:t>
      </w:r>
      <w:r w:rsidRPr="00903D96">
        <w:rPr>
          <w:b/>
          <w:bCs/>
          <w:iCs/>
          <w:u w:val="single"/>
        </w:rPr>
        <w:t>Court Project Responsibilities</w:t>
      </w:r>
      <w:bookmarkEnd w:id="5"/>
      <w:bookmarkEnd w:id="6"/>
    </w:p>
    <w:p w:rsidR="00651E8D" w:rsidRPr="008D485D" w:rsidRDefault="00651E8D" w:rsidP="00651E8D">
      <w:pPr>
        <w:widowControl w:val="0"/>
        <w:ind w:left="720"/>
        <w:rPr>
          <w:bCs/>
        </w:rPr>
      </w:pPr>
      <w:r w:rsidRPr="008D485D">
        <w:rPr>
          <w:bCs/>
        </w:rPr>
        <w:t>The Court will meet the following r</w:t>
      </w:r>
      <w:r w:rsidR="00A549A0">
        <w:rPr>
          <w:bCs/>
        </w:rPr>
        <w:t>esponsibilities to support implementation</w:t>
      </w:r>
      <w:r w:rsidRPr="008D485D">
        <w:rPr>
          <w:bCs/>
        </w:rPr>
        <w:t xml:space="preserve"> tasks and </w:t>
      </w:r>
      <w:r w:rsidR="00141D56">
        <w:rPr>
          <w:bCs/>
        </w:rPr>
        <w:t xml:space="preserve">the </w:t>
      </w:r>
      <w:r w:rsidRPr="008D485D">
        <w:rPr>
          <w:bCs/>
        </w:rPr>
        <w:t>delivery schedule.</w:t>
      </w:r>
      <w:r w:rsidR="000F41C2">
        <w:rPr>
          <w:bCs/>
        </w:rPr>
        <w:t xml:space="preserve"> </w:t>
      </w:r>
      <w:r w:rsidRPr="008D485D">
        <w:rPr>
          <w:bCs/>
        </w:rPr>
        <w:t xml:space="preserve">The Court Project Manager, </w:t>
      </w:r>
      <w:r w:rsidR="00350C7C">
        <w:rPr>
          <w:bCs/>
        </w:rPr>
        <w:t>in collaboration with Business r</w:t>
      </w:r>
      <w:r w:rsidRPr="008D485D">
        <w:rPr>
          <w:bCs/>
        </w:rPr>
        <w:t>esources, will:</w:t>
      </w:r>
    </w:p>
    <w:p w:rsidR="00350C7C" w:rsidRPr="00350C7C" w:rsidRDefault="00350C7C" w:rsidP="00350C7C">
      <w:pPr>
        <w:widowControl w:val="0"/>
        <w:numPr>
          <w:ilvl w:val="0"/>
          <w:numId w:val="37"/>
        </w:numPr>
        <w:tabs>
          <w:tab w:val="clear" w:pos="360"/>
          <w:tab w:val="num" w:pos="1080"/>
        </w:tabs>
        <w:ind w:left="1080"/>
        <w:rPr>
          <w:bCs/>
        </w:rPr>
      </w:pPr>
      <w:r>
        <w:rPr>
          <w:bCs/>
        </w:rPr>
        <w:t xml:space="preserve">Develop </w:t>
      </w:r>
      <w:r w:rsidR="00141D56">
        <w:rPr>
          <w:bCs/>
        </w:rPr>
        <w:t xml:space="preserve">a </w:t>
      </w:r>
      <w:r>
        <w:rPr>
          <w:bCs/>
        </w:rPr>
        <w:t xml:space="preserve">separate project plan detailing all </w:t>
      </w:r>
      <w:r w:rsidRPr="008D485D">
        <w:rPr>
          <w:bCs/>
        </w:rPr>
        <w:t>necessary Court tasks</w:t>
      </w:r>
      <w:r>
        <w:rPr>
          <w:bCs/>
        </w:rPr>
        <w:t xml:space="preserve"> and resources</w:t>
      </w:r>
      <w:r w:rsidRPr="008D485D">
        <w:rPr>
          <w:bCs/>
        </w:rPr>
        <w:t xml:space="preserve"> required to meet the project delivery schedule</w:t>
      </w:r>
    </w:p>
    <w:p w:rsidR="00651E8D" w:rsidRPr="008D485D" w:rsidRDefault="00651E8D" w:rsidP="00651E8D">
      <w:pPr>
        <w:widowControl w:val="0"/>
        <w:numPr>
          <w:ilvl w:val="0"/>
          <w:numId w:val="37"/>
        </w:numPr>
        <w:tabs>
          <w:tab w:val="clear" w:pos="360"/>
          <w:tab w:val="num" w:pos="1080"/>
        </w:tabs>
        <w:ind w:left="1080"/>
        <w:rPr>
          <w:bCs/>
        </w:rPr>
      </w:pPr>
      <w:r w:rsidRPr="008D485D">
        <w:rPr>
          <w:bCs/>
        </w:rPr>
        <w:t>Work jointly with vendor to ensure project success</w:t>
      </w:r>
    </w:p>
    <w:p w:rsidR="00651E8D" w:rsidRPr="008D485D" w:rsidRDefault="00350C7C" w:rsidP="00651E8D">
      <w:pPr>
        <w:widowControl w:val="0"/>
        <w:numPr>
          <w:ilvl w:val="0"/>
          <w:numId w:val="37"/>
        </w:numPr>
        <w:tabs>
          <w:tab w:val="clear" w:pos="360"/>
          <w:tab w:val="num" w:pos="1080"/>
        </w:tabs>
        <w:ind w:left="1080"/>
        <w:rPr>
          <w:bCs/>
        </w:rPr>
      </w:pPr>
      <w:r>
        <w:rPr>
          <w:bCs/>
        </w:rPr>
        <w:t xml:space="preserve">Collaborate with the vendor to </w:t>
      </w:r>
      <w:r w:rsidR="00141D56">
        <w:rPr>
          <w:bCs/>
        </w:rPr>
        <w:t>e</w:t>
      </w:r>
      <w:r w:rsidR="00651E8D" w:rsidRPr="008D485D">
        <w:rPr>
          <w:bCs/>
        </w:rPr>
        <w:t xml:space="preserve">nsure timely completion </w:t>
      </w:r>
      <w:r>
        <w:rPr>
          <w:bCs/>
        </w:rPr>
        <w:t xml:space="preserve">of </w:t>
      </w:r>
      <w:r w:rsidR="00651E8D" w:rsidRPr="008D485D">
        <w:rPr>
          <w:bCs/>
        </w:rPr>
        <w:t xml:space="preserve">Court </w:t>
      </w:r>
      <w:r>
        <w:rPr>
          <w:bCs/>
        </w:rPr>
        <w:t>responsibilities</w:t>
      </w:r>
      <w:r w:rsidR="00651E8D" w:rsidRPr="008D485D">
        <w:rPr>
          <w:bCs/>
        </w:rPr>
        <w:t xml:space="preserve"> to </w:t>
      </w:r>
      <w:r>
        <w:rPr>
          <w:bCs/>
        </w:rPr>
        <w:t>support</w:t>
      </w:r>
      <w:r w:rsidR="00651E8D" w:rsidRPr="008D485D">
        <w:rPr>
          <w:bCs/>
        </w:rPr>
        <w:t xml:space="preserve"> the project delivery schedule</w:t>
      </w:r>
    </w:p>
    <w:p w:rsidR="00651E8D" w:rsidRPr="008D485D" w:rsidRDefault="00651E8D" w:rsidP="00651E8D">
      <w:pPr>
        <w:widowControl w:val="0"/>
        <w:numPr>
          <w:ilvl w:val="0"/>
          <w:numId w:val="37"/>
        </w:numPr>
        <w:tabs>
          <w:tab w:val="clear" w:pos="360"/>
          <w:tab w:val="num" w:pos="1080"/>
        </w:tabs>
        <w:ind w:left="1080"/>
        <w:rPr>
          <w:bCs/>
        </w:rPr>
      </w:pPr>
      <w:r w:rsidRPr="008D485D">
        <w:rPr>
          <w:bCs/>
        </w:rPr>
        <w:t>Provide assistance and support to the vendor Project Manager regarding issues requiring Court-specific decisions and actions</w:t>
      </w:r>
    </w:p>
    <w:p w:rsidR="00651E8D" w:rsidRPr="008D485D" w:rsidRDefault="00651E8D" w:rsidP="00651E8D">
      <w:pPr>
        <w:widowControl w:val="0"/>
        <w:numPr>
          <w:ilvl w:val="0"/>
          <w:numId w:val="37"/>
        </w:numPr>
        <w:tabs>
          <w:tab w:val="clear" w:pos="360"/>
          <w:tab w:val="num" w:pos="1080"/>
        </w:tabs>
        <w:ind w:left="1080"/>
        <w:rPr>
          <w:bCs/>
        </w:rPr>
      </w:pPr>
      <w:r w:rsidRPr="008D485D">
        <w:rPr>
          <w:bCs/>
        </w:rPr>
        <w:t>Have knowledge of Court standards, procedures, business processes and strategic goals, and be able to designate support personnel who may be required to participate on project teams</w:t>
      </w:r>
    </w:p>
    <w:p w:rsidR="00651E8D" w:rsidRPr="008D485D" w:rsidRDefault="00651E8D" w:rsidP="00651E8D">
      <w:pPr>
        <w:widowControl w:val="0"/>
        <w:numPr>
          <w:ilvl w:val="0"/>
          <w:numId w:val="37"/>
        </w:numPr>
        <w:tabs>
          <w:tab w:val="clear" w:pos="360"/>
          <w:tab w:val="num" w:pos="1080"/>
        </w:tabs>
        <w:ind w:left="1080"/>
        <w:rPr>
          <w:bCs/>
        </w:rPr>
      </w:pPr>
      <w:r w:rsidRPr="008D485D">
        <w:rPr>
          <w:bCs/>
        </w:rPr>
        <w:t>Keep the vendor Project Manager apprised of business, organizational and technical issues that may have an impact on the performance and delivery of this project</w:t>
      </w:r>
    </w:p>
    <w:p w:rsidR="00651E8D" w:rsidRDefault="00651E8D" w:rsidP="00651E8D">
      <w:pPr>
        <w:widowControl w:val="0"/>
        <w:numPr>
          <w:ilvl w:val="0"/>
          <w:numId w:val="37"/>
        </w:numPr>
        <w:tabs>
          <w:tab w:val="clear" w:pos="360"/>
          <w:tab w:val="num" w:pos="1080"/>
        </w:tabs>
        <w:ind w:left="1080"/>
        <w:rPr>
          <w:bCs/>
        </w:rPr>
      </w:pPr>
      <w:r w:rsidRPr="008D485D">
        <w:rPr>
          <w:bCs/>
        </w:rPr>
        <w:t>Work with the vendor Project Manager on issues and risks that may cause delays in the delivery schedule</w:t>
      </w:r>
    </w:p>
    <w:p w:rsidR="00651E8D" w:rsidRPr="008D485D" w:rsidRDefault="00651E8D" w:rsidP="00651E8D">
      <w:pPr>
        <w:widowControl w:val="0"/>
        <w:ind w:left="1080"/>
        <w:rPr>
          <w:bCs/>
        </w:rPr>
      </w:pPr>
    </w:p>
    <w:p w:rsidR="00651E8D" w:rsidRPr="008D485D" w:rsidRDefault="00651E8D" w:rsidP="00651E8D">
      <w:pPr>
        <w:widowControl w:val="0"/>
        <w:ind w:left="720"/>
        <w:rPr>
          <w:bCs/>
        </w:rPr>
      </w:pPr>
      <w:r w:rsidRPr="008D485D">
        <w:rPr>
          <w:bCs/>
        </w:rPr>
        <w:t xml:space="preserve">The Court will provide the vendor access </w:t>
      </w:r>
      <w:r w:rsidR="000F41C2">
        <w:rPr>
          <w:bCs/>
        </w:rPr>
        <w:t>(</w:t>
      </w:r>
      <w:r w:rsidRPr="008D485D">
        <w:rPr>
          <w:bCs/>
        </w:rPr>
        <w:t>during normal business hours and other mutually agreed</w:t>
      </w:r>
      <w:r w:rsidR="000F41C2">
        <w:rPr>
          <w:bCs/>
        </w:rPr>
        <w:t>-upon</w:t>
      </w:r>
      <w:r w:rsidRPr="008D485D">
        <w:rPr>
          <w:bCs/>
        </w:rPr>
        <w:t xml:space="preserve"> times) to Court functional, technical and business staff</w:t>
      </w:r>
      <w:r w:rsidR="000F41C2">
        <w:rPr>
          <w:bCs/>
        </w:rPr>
        <w:t>,</w:t>
      </w:r>
      <w:r w:rsidRPr="008D485D">
        <w:rPr>
          <w:bCs/>
        </w:rPr>
        <w:t xml:space="preserve"> facilities</w:t>
      </w:r>
      <w:r w:rsidR="000F41C2">
        <w:rPr>
          <w:bCs/>
        </w:rPr>
        <w:t>,</w:t>
      </w:r>
      <w:r w:rsidRPr="008D485D">
        <w:rPr>
          <w:bCs/>
        </w:rPr>
        <w:t xml:space="preserve"> </w:t>
      </w:r>
      <w:r w:rsidR="000F41C2">
        <w:rPr>
          <w:bCs/>
        </w:rPr>
        <w:t>and</w:t>
      </w:r>
      <w:r w:rsidRPr="008D485D">
        <w:rPr>
          <w:bCs/>
        </w:rPr>
        <w:t xml:space="preserve"> equipment</w:t>
      </w:r>
      <w:r w:rsidR="00141D56">
        <w:rPr>
          <w:bCs/>
        </w:rPr>
        <w:t xml:space="preserve">. The </w:t>
      </w:r>
      <w:r w:rsidR="000F41C2">
        <w:rPr>
          <w:bCs/>
        </w:rPr>
        <w:t>Court</w:t>
      </w:r>
      <w:r w:rsidR="00141D56">
        <w:rPr>
          <w:bCs/>
        </w:rPr>
        <w:t xml:space="preserve"> will provide</w:t>
      </w:r>
      <w:r w:rsidR="000F41C2">
        <w:rPr>
          <w:bCs/>
        </w:rPr>
        <w:t xml:space="preserve"> </w:t>
      </w:r>
      <w:r w:rsidRPr="008D485D">
        <w:rPr>
          <w:bCs/>
        </w:rPr>
        <w:t>assistance</w:t>
      </w:r>
      <w:r w:rsidR="000F41C2">
        <w:rPr>
          <w:bCs/>
        </w:rPr>
        <w:t xml:space="preserve"> and </w:t>
      </w:r>
      <w:r w:rsidRPr="008D485D">
        <w:rPr>
          <w:bCs/>
        </w:rPr>
        <w:t>cooperation</w:t>
      </w:r>
      <w:r w:rsidR="00141D56">
        <w:rPr>
          <w:bCs/>
        </w:rPr>
        <w:t xml:space="preserve">, </w:t>
      </w:r>
      <w:r w:rsidRPr="008D485D">
        <w:rPr>
          <w:bCs/>
        </w:rPr>
        <w:t>complete</w:t>
      </w:r>
      <w:r w:rsidR="00141D56">
        <w:rPr>
          <w:bCs/>
        </w:rPr>
        <w:t xml:space="preserve"> and</w:t>
      </w:r>
      <w:r w:rsidRPr="008D485D">
        <w:rPr>
          <w:bCs/>
        </w:rPr>
        <w:t xml:space="preserve"> accurate information</w:t>
      </w:r>
      <w:r w:rsidR="00141D56">
        <w:rPr>
          <w:bCs/>
        </w:rPr>
        <w:t>/</w:t>
      </w:r>
      <w:r w:rsidRPr="008D485D">
        <w:rPr>
          <w:bCs/>
        </w:rPr>
        <w:t>data</w:t>
      </w:r>
      <w:r w:rsidR="000F41C2">
        <w:rPr>
          <w:bCs/>
        </w:rPr>
        <w:t>,</w:t>
      </w:r>
      <w:r w:rsidR="00A549A0">
        <w:rPr>
          <w:bCs/>
        </w:rPr>
        <w:t xml:space="preserve"> </w:t>
      </w:r>
      <w:r w:rsidR="00141D56">
        <w:rPr>
          <w:bCs/>
        </w:rPr>
        <w:t>and</w:t>
      </w:r>
      <w:r w:rsidR="00141D56" w:rsidRPr="008D485D">
        <w:rPr>
          <w:bCs/>
        </w:rPr>
        <w:t xml:space="preserve"> </w:t>
      </w:r>
      <w:r w:rsidRPr="008D485D">
        <w:rPr>
          <w:bCs/>
        </w:rPr>
        <w:t>access to, if required:</w:t>
      </w:r>
    </w:p>
    <w:p w:rsidR="00651E8D" w:rsidRPr="008D485D" w:rsidRDefault="00651E8D" w:rsidP="00651E8D">
      <w:pPr>
        <w:pStyle w:val="ListParagraph"/>
        <w:widowControl w:val="0"/>
        <w:numPr>
          <w:ilvl w:val="0"/>
          <w:numId w:val="38"/>
        </w:numPr>
        <w:ind w:left="1080"/>
        <w:rPr>
          <w:bCs/>
        </w:rPr>
      </w:pPr>
      <w:r w:rsidRPr="008D485D">
        <w:rPr>
          <w:bCs/>
        </w:rPr>
        <w:t>Systems and networks</w:t>
      </w:r>
    </w:p>
    <w:p w:rsidR="00651E8D" w:rsidRPr="008D485D" w:rsidRDefault="00651E8D" w:rsidP="00651E8D">
      <w:pPr>
        <w:pStyle w:val="ListParagraph"/>
        <w:widowControl w:val="0"/>
        <w:numPr>
          <w:ilvl w:val="0"/>
          <w:numId w:val="38"/>
        </w:numPr>
        <w:ind w:left="1080"/>
        <w:rPr>
          <w:bCs/>
        </w:rPr>
      </w:pPr>
      <w:r w:rsidRPr="008D485D">
        <w:rPr>
          <w:bCs/>
        </w:rPr>
        <w:t>Current processes and procedures</w:t>
      </w:r>
    </w:p>
    <w:p w:rsidR="00651E8D" w:rsidRPr="008D485D" w:rsidRDefault="00651E8D" w:rsidP="00651E8D">
      <w:pPr>
        <w:pStyle w:val="ListParagraph"/>
        <w:widowControl w:val="0"/>
        <w:numPr>
          <w:ilvl w:val="0"/>
          <w:numId w:val="38"/>
        </w:numPr>
        <w:ind w:left="1080"/>
        <w:rPr>
          <w:bCs/>
        </w:rPr>
      </w:pPr>
      <w:r w:rsidRPr="008D485D">
        <w:rPr>
          <w:bCs/>
        </w:rPr>
        <w:t>Workflow diagrams</w:t>
      </w:r>
    </w:p>
    <w:p w:rsidR="00651E8D" w:rsidRPr="008D485D" w:rsidRDefault="00651E8D" w:rsidP="00651E8D">
      <w:pPr>
        <w:pStyle w:val="ListParagraph"/>
        <w:widowControl w:val="0"/>
        <w:numPr>
          <w:ilvl w:val="0"/>
          <w:numId w:val="38"/>
        </w:numPr>
        <w:ind w:left="1080"/>
        <w:rPr>
          <w:bCs/>
        </w:rPr>
      </w:pPr>
      <w:r w:rsidRPr="008D485D">
        <w:rPr>
          <w:bCs/>
        </w:rPr>
        <w:t>Architectural designs</w:t>
      </w:r>
    </w:p>
    <w:p w:rsidR="00651E8D" w:rsidRPr="008D485D" w:rsidRDefault="00651E8D" w:rsidP="00651E8D">
      <w:pPr>
        <w:pStyle w:val="ListParagraph"/>
        <w:widowControl w:val="0"/>
        <w:numPr>
          <w:ilvl w:val="0"/>
          <w:numId w:val="38"/>
        </w:numPr>
        <w:ind w:left="1080"/>
        <w:rPr>
          <w:bCs/>
        </w:rPr>
      </w:pPr>
      <w:r w:rsidRPr="008D485D">
        <w:rPr>
          <w:bCs/>
        </w:rPr>
        <w:t>On-site resource personnel as needed for functional and technical reviews</w:t>
      </w:r>
    </w:p>
    <w:p w:rsidR="00857C9A" w:rsidRDefault="00857C9A" w:rsidP="00857C9A">
      <w:pPr>
        <w:pStyle w:val="ListParagraph"/>
        <w:widowControl w:val="0"/>
        <w:ind w:left="1080"/>
        <w:rPr>
          <w:bCs/>
        </w:rPr>
      </w:pPr>
    </w:p>
    <w:p w:rsidR="00122B6C" w:rsidRPr="00152A24" w:rsidRDefault="00651E8D" w:rsidP="00152A24">
      <w:pPr>
        <w:widowControl w:val="0"/>
        <w:ind w:left="720"/>
        <w:rPr>
          <w:bCs/>
        </w:rPr>
      </w:pPr>
      <w:r w:rsidRPr="008D485D">
        <w:rPr>
          <w:bCs/>
        </w:rPr>
        <w:t>The Court will provide technical support for Court-supplied infrastructure and components including responsibility for network connectivity, network performance, and network configuration issues.</w:t>
      </w:r>
      <w:r w:rsidR="000F41C2">
        <w:rPr>
          <w:bCs/>
        </w:rPr>
        <w:t xml:space="preserve"> </w:t>
      </w:r>
      <w:r w:rsidRPr="008D485D">
        <w:rPr>
          <w:bCs/>
        </w:rPr>
        <w:t>The Court will agree to timely resolution of issues and completion of tasks within the Court’s scope of responsibility that are causing delay to the delivery schedule.</w:t>
      </w:r>
    </w:p>
    <w:p w:rsidR="00122B6C" w:rsidRDefault="00122B6C" w:rsidP="00AB2FC2">
      <w:pPr>
        <w:widowControl w:val="0"/>
        <w:rPr>
          <w:b/>
          <w:bCs/>
        </w:rPr>
      </w:pPr>
    </w:p>
    <w:p w:rsidR="00122B6C" w:rsidRDefault="00122B6C" w:rsidP="00AB2FC2">
      <w:pPr>
        <w:widowControl w:val="0"/>
        <w:rPr>
          <w:b/>
          <w:bCs/>
        </w:rPr>
      </w:pPr>
    </w:p>
    <w:p w:rsidR="00A50B42" w:rsidRPr="00D74462" w:rsidRDefault="00B855CB" w:rsidP="00AB2FC2">
      <w:pPr>
        <w:widowControl w:val="0"/>
        <w:rPr>
          <w:b/>
          <w:bCs/>
        </w:rPr>
      </w:pPr>
      <w:r>
        <w:rPr>
          <w:b/>
          <w:bCs/>
        </w:rPr>
        <w:t xml:space="preserve">4.0 </w:t>
      </w:r>
      <w:r w:rsidR="00122B6C">
        <w:rPr>
          <w:b/>
          <w:bCs/>
        </w:rPr>
        <w:tab/>
      </w:r>
      <w:r w:rsidR="00A50B42" w:rsidRPr="00D74462">
        <w:rPr>
          <w:b/>
          <w:bCs/>
        </w:rPr>
        <w:t>TIMELINE FOR THIS RFP</w:t>
      </w:r>
    </w:p>
    <w:p w:rsidR="00A50B42" w:rsidRPr="00D74462" w:rsidRDefault="00A50B42" w:rsidP="00A50B42">
      <w:pPr>
        <w:widowControl w:val="0"/>
        <w:rPr>
          <w:bCs/>
        </w:rPr>
      </w:pPr>
    </w:p>
    <w:p w:rsidR="00122B6C" w:rsidRDefault="00122B6C" w:rsidP="00122B6C">
      <w:pPr>
        <w:ind w:left="360" w:hanging="360"/>
      </w:pPr>
      <w:r>
        <w:tab/>
      </w:r>
      <w:r w:rsidR="00651E8D">
        <w:t xml:space="preserve">4.1 </w:t>
      </w:r>
      <w:r w:rsidR="00651E8D">
        <w:rPr>
          <w:b/>
          <w:u w:val="single"/>
        </w:rPr>
        <w:t>Proposed Procurement Schedule</w:t>
      </w:r>
      <w:r w:rsidR="00651E8D">
        <w:t xml:space="preserve"> </w:t>
      </w:r>
    </w:p>
    <w:p w:rsidR="00122B6C" w:rsidRDefault="00A64616" w:rsidP="00FC71BC">
      <w:pPr>
        <w:ind w:left="720"/>
      </w:pPr>
      <w:r>
        <w:t>Proposals are due by July, 18, 2012</w:t>
      </w:r>
      <w:r w:rsidR="00374261">
        <w:t xml:space="preserve">. </w:t>
      </w:r>
      <w:r w:rsidR="00122B6C" w:rsidRPr="004208E5">
        <w:t xml:space="preserve">Application demonstrations are to be held starting </w:t>
      </w:r>
      <w:r w:rsidR="0075282D">
        <w:t>two weeks</w:t>
      </w:r>
      <w:r w:rsidR="00122B6C" w:rsidRPr="004208E5">
        <w:t xml:space="preserve"> af</w:t>
      </w:r>
      <w:r>
        <w:t>ter the RFP submission deadline.</w:t>
      </w:r>
      <w:r w:rsidR="00122B6C" w:rsidRPr="004208E5">
        <w:t xml:space="preserve"> It is the Court’s intention to have a signed contract </w:t>
      </w:r>
      <w:r w:rsidR="00A7178B" w:rsidRPr="00374261">
        <w:t>within</w:t>
      </w:r>
      <w:r w:rsidR="00374261">
        <w:t xml:space="preserve"> sixty (60) days</w:t>
      </w:r>
      <w:r w:rsidR="00122B6C" w:rsidRPr="004208E5">
        <w:t xml:space="preserve"> of the RFP submission deadline.</w:t>
      </w:r>
    </w:p>
    <w:p w:rsidR="00072049" w:rsidRDefault="00072049" w:rsidP="00FC71BC">
      <w:pPr>
        <w:ind w:left="720"/>
      </w:pPr>
    </w:p>
    <w:tbl>
      <w:tblPr>
        <w:tblW w:w="0" w:type="auto"/>
        <w:tblCellMar>
          <w:left w:w="0" w:type="dxa"/>
          <w:right w:w="0" w:type="dxa"/>
        </w:tblCellMar>
        <w:tblLook w:val="04A0"/>
      </w:tblPr>
      <w:tblGrid>
        <w:gridCol w:w="570"/>
        <w:gridCol w:w="7548"/>
        <w:gridCol w:w="1458"/>
      </w:tblGrid>
      <w:tr w:rsidR="00072049" w:rsidTr="00072049">
        <w:trPr>
          <w:tblHeader/>
        </w:trPr>
        <w:tc>
          <w:tcPr>
            <w:tcW w:w="0" w:type="auto"/>
            <w:tcBorders>
              <w:top w:val="single" w:sz="8" w:space="0" w:color="auto"/>
              <w:left w:val="single" w:sz="8" w:space="0" w:color="auto"/>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No.</w:t>
            </w:r>
          </w:p>
        </w:tc>
        <w:tc>
          <w:tcPr>
            <w:tcW w:w="754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Key Events</w:t>
            </w:r>
          </w:p>
        </w:tc>
        <w:tc>
          <w:tcPr>
            <w:tcW w:w="145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Key Dates</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 xml:space="preserve">AOC issues RFP on behalf of San Luis Obispo Superior Court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6/19/12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F30406" w:rsidRDefault="00072049" w:rsidP="00374261">
            <w:pPr>
              <w:spacing w:line="276" w:lineRule="auto"/>
              <w:rPr>
                <w:rFonts w:eastAsiaTheme="minorHAnsi"/>
              </w:rPr>
            </w:pPr>
            <w:r w:rsidRPr="00F30406">
              <w:t xml:space="preserve">Deadline for proposers to register for </w:t>
            </w:r>
            <w:r w:rsidR="00EA09FC" w:rsidRPr="00F30406">
              <w:t xml:space="preserve">Pre-Proposal </w:t>
            </w:r>
            <w:r w:rsidR="00FB7CFF">
              <w:t>{</w:t>
            </w:r>
            <w:r w:rsidR="00374261" w:rsidRPr="00F30406">
              <w:t>Q&amp;A</w:t>
            </w:r>
            <w:r w:rsidR="00FB7CFF">
              <w:t>}</w:t>
            </w:r>
            <w:r w:rsidR="00374261" w:rsidRPr="00F30406">
              <w:t xml:space="preserve"> </w:t>
            </w:r>
            <w:r w:rsidRPr="00F30406">
              <w:t>Conference</w:t>
            </w:r>
            <w:r w:rsidR="00EA09FC" w:rsidRPr="00F30406">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6/27/12</w:t>
            </w:r>
          </w:p>
        </w:tc>
      </w:tr>
      <w:tr w:rsidR="00072049" w:rsidTr="009223FC">
        <w:trPr>
          <w:trHeight w:val="2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EA09FC">
            <w:pPr>
              <w:spacing w:line="276" w:lineRule="auto"/>
              <w:rPr>
                <w:rFonts w:eastAsiaTheme="minorHAnsi"/>
              </w:rPr>
            </w:pPr>
            <w:r>
              <w:t>3</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F30406" w:rsidRDefault="00072049" w:rsidP="009223FC">
            <w:pPr>
              <w:spacing w:line="276" w:lineRule="auto"/>
              <w:rPr>
                <w:rFonts w:eastAsiaTheme="minorHAnsi"/>
              </w:rPr>
            </w:pPr>
            <w:r w:rsidRPr="00F30406">
              <w:rPr>
                <w:rStyle w:val="CommentReference"/>
              </w:rPr>
              <w:t> </w:t>
            </w:r>
            <w:r w:rsidR="00EA09FC" w:rsidRPr="00F30406">
              <w:t xml:space="preserve">Pre-Proposal </w:t>
            </w:r>
            <w:r w:rsidRPr="00F30406">
              <w:t xml:space="preserve">Conference </w:t>
            </w:r>
            <w:r w:rsidR="009223FC" w:rsidRPr="00F30406">
              <w:t>(</w:t>
            </w:r>
            <w:r w:rsidR="009223FC" w:rsidRPr="00F30406">
              <w:rPr>
                <w:b/>
              </w:rPr>
              <w:t>2:00 PM – 5:00 PM PDT via Conference Call</w:t>
            </w:r>
            <w:r w:rsidR="00A7178B" w:rsidRPr="00F30406">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Pr>
                <w:color w:val="000000" w:themeColor="text1"/>
              </w:rPr>
              <w:t>7/9</w:t>
            </w:r>
            <w:r w:rsidR="002A3839" w:rsidRPr="002A3839">
              <w:rPr>
                <w:color w:val="000000" w:themeColor="text1"/>
              </w:rPr>
              <w:t>/12</w:t>
            </w:r>
          </w:p>
        </w:tc>
      </w:tr>
      <w:tr w:rsidR="00EA09FC" w:rsidTr="00EA09FC">
        <w:trPr>
          <w:trHeight w:val="2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r>
              <w:t>4</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EA09FC">
            <w:pPr>
              <w:rPr>
                <w:rFonts w:asciiTheme="minorHAnsi" w:eastAsiaTheme="minorEastAsia" w:hAnsiTheme="minorHAnsi" w:cstheme="minorBidi"/>
                <w:sz w:val="22"/>
                <w:szCs w:val="22"/>
              </w:rPr>
            </w:pPr>
            <w:r>
              <w:t xml:space="preserve">Deadline for proposers to submit questions, requests for clarifications or modifications to </w:t>
            </w:r>
            <w:hyperlink r:id="rId17" w:history="1">
              <w:r w:rsidR="004B3068" w:rsidRPr="00347178">
                <w:rPr>
                  <w:rStyle w:val="Hyperlink"/>
                  <w:rFonts w:eastAsiaTheme="majorEastAsia"/>
                </w:rPr>
                <w:t>Solicitations@jud.ca.gov</w:t>
              </w:r>
            </w:hyperlink>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8108FA">
            <w:pPr>
              <w:jc w:val="center"/>
              <w:rPr>
                <w:rFonts w:asciiTheme="minorHAnsi" w:eastAsiaTheme="minorEastAsia" w:hAnsiTheme="minorHAnsi"/>
                <w:color w:val="000000" w:themeColor="text1"/>
                <w:sz w:val="22"/>
              </w:rPr>
            </w:pPr>
            <w:r w:rsidRPr="002A3839">
              <w:rPr>
                <w:color w:val="000000" w:themeColor="text1"/>
              </w:rPr>
              <w:t>7/</w:t>
            </w:r>
            <w:r w:rsidR="008108FA">
              <w:rPr>
                <w:color w:val="000000" w:themeColor="text1"/>
              </w:rPr>
              <w:t>10</w:t>
            </w:r>
            <w:r w:rsidRPr="002A3839">
              <w:rPr>
                <w:color w:val="000000" w:themeColor="text1"/>
              </w:rPr>
              <w:t>/12</w:t>
            </w:r>
          </w:p>
        </w:tc>
      </w:tr>
      <w:tr w:rsidR="00EA09FC"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3965E4">
            <w:pPr>
              <w:spacing w:line="276" w:lineRule="auto"/>
            </w:pP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Pr="002A3839" w:rsidRDefault="00EA09FC">
            <w:pPr>
              <w:spacing w:line="276" w:lineRule="auto"/>
              <w:jc w:val="center"/>
              <w:rPr>
                <w:color w:val="000000" w:themeColor="text1"/>
              </w:rPr>
            </w:pPr>
          </w:p>
        </w:tc>
      </w:tr>
      <w:tr w:rsidR="00EA09FC" w:rsidTr="00EA09FC">
        <w:trPr>
          <w:trHeight w:val="3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C221A1">
            <w:pPr>
              <w:spacing w:line="276" w:lineRule="auto"/>
            </w:pPr>
            <w:r>
              <w:t xml:space="preserve">Post Vendor Questions and Court/AOC </w:t>
            </w:r>
            <w:r w:rsidR="00C221A1">
              <w:t>A</w:t>
            </w:r>
            <w:r>
              <w:t xml:space="preserve">nswers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Pr="002A3839" w:rsidRDefault="008108FA" w:rsidP="008108FA">
            <w:pPr>
              <w:spacing w:line="276" w:lineRule="auto"/>
              <w:jc w:val="center"/>
              <w:rPr>
                <w:color w:val="000000" w:themeColor="text1"/>
              </w:rPr>
            </w:pPr>
            <w:r>
              <w:rPr>
                <w:color w:val="000000" w:themeColor="text1"/>
              </w:rPr>
              <w:t>7/12</w:t>
            </w:r>
            <w:r w:rsidR="00EA09FC" w:rsidRPr="002A3839">
              <w:rPr>
                <w:color w:val="000000" w:themeColor="text1"/>
              </w:rPr>
              <w:t>/12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EA09F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6</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rsidP="003965E4">
            <w:pPr>
              <w:spacing w:line="276" w:lineRule="auto"/>
              <w:rPr>
                <w:rFonts w:ascii="Calibri" w:eastAsiaTheme="minorHAnsi" w:hAnsi="Calibri" w:cs="Calibri"/>
                <w:sz w:val="22"/>
                <w:szCs w:val="22"/>
              </w:rPr>
            </w:pPr>
            <w:r>
              <w:t xml:space="preserve">Vendor </w:t>
            </w:r>
            <w:r w:rsidR="003965E4">
              <w:t>S</w:t>
            </w:r>
            <w:r w:rsidR="003965E4" w:rsidRPr="005A3E81">
              <w:rPr>
                <w:color w:val="000000" w:themeColor="text1"/>
              </w:rPr>
              <w:t xml:space="preserve">olicitation </w:t>
            </w:r>
            <w:r w:rsidR="003965E4">
              <w:rPr>
                <w:color w:val="000000" w:themeColor="text1"/>
              </w:rPr>
              <w:t>S</w:t>
            </w:r>
            <w:r w:rsidR="003965E4" w:rsidRPr="005A3E81">
              <w:rPr>
                <w:color w:val="000000" w:themeColor="text1"/>
              </w:rPr>
              <w:t>pecifications</w:t>
            </w:r>
            <w:r w:rsidR="003965E4">
              <w:rPr>
                <w:color w:val="000000" w:themeColor="text1"/>
              </w:rPr>
              <w:t xml:space="preserve"> </w:t>
            </w:r>
            <w:r>
              <w:t>Protest Deadline</w:t>
            </w:r>
            <w:r w:rsidR="008108FA">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ascii="Calibri" w:eastAsiaTheme="minorHAnsi" w:hAnsi="Calibri"/>
                <w:color w:val="000000" w:themeColor="text1"/>
                <w:sz w:val="22"/>
              </w:rPr>
            </w:pPr>
            <w:r w:rsidRPr="002A3839">
              <w:rPr>
                <w:color w:val="000000" w:themeColor="text1"/>
              </w:rPr>
              <w:t>7/</w:t>
            </w:r>
            <w:r w:rsidR="008108FA">
              <w:rPr>
                <w:color w:val="000000" w:themeColor="text1"/>
              </w:rPr>
              <w:t>13</w:t>
            </w:r>
            <w:r w:rsidRPr="002A3839">
              <w:rPr>
                <w:color w:val="000000" w:themeColor="text1"/>
              </w:rPr>
              <w:t>/12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7</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Proposal due date and time</w:t>
            </w:r>
            <w:r w:rsidR="009223FC">
              <w:t xml:space="preserve"> (</w:t>
            </w:r>
            <w:r w:rsidR="009223FC" w:rsidRPr="009223FC">
              <w:rPr>
                <w:b/>
                <w:color w:val="000000" w:themeColor="text1"/>
              </w:rPr>
              <w:t>4:30 PM, PDT</w:t>
            </w:r>
            <w:r w:rsidR="009223FC">
              <w:rPr>
                <w:color w:val="000000" w:themeColor="text1"/>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rsidP="008108FA">
            <w:pPr>
              <w:spacing w:line="276" w:lineRule="auto"/>
              <w:jc w:val="center"/>
              <w:rPr>
                <w:rFonts w:eastAsiaTheme="minorHAnsi"/>
                <w:color w:val="000000" w:themeColor="text1"/>
              </w:rPr>
            </w:pPr>
            <w:r w:rsidRPr="002A3839">
              <w:rPr>
                <w:color w:val="000000" w:themeColor="text1"/>
              </w:rPr>
              <w:t>7/18/12</w:t>
            </w:r>
          </w:p>
        </w:tc>
      </w:tr>
      <w:tr w:rsidR="00072049" w:rsidTr="00072049">
        <w:trPr>
          <w:trHeight w:val="32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8</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rsidP="00C221A1">
            <w:pPr>
              <w:spacing w:line="276" w:lineRule="auto"/>
              <w:rPr>
                <w:rFonts w:eastAsiaTheme="minorHAnsi"/>
              </w:rPr>
            </w:pPr>
            <w:r>
              <w:t>Invitations for Demonstrations</w:t>
            </w:r>
            <w:r w:rsidR="008108FA">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Pr>
                <w:color w:val="000000" w:themeColor="text1"/>
              </w:rPr>
              <w:t>7/26– 8/1/12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9</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Presentations (solution demonstrations and interviews)</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8/2-8/8/12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072049" w:rsidRDefault="0072371D">
            <w:pPr>
              <w:spacing w:line="276" w:lineRule="auto"/>
              <w:rPr>
                <w:rFonts w:eastAsiaTheme="minorHAnsi"/>
                <w:color w:val="000000" w:themeColor="text1"/>
              </w:rPr>
            </w:pPr>
            <w:r>
              <w:rPr>
                <w:color w:val="000000" w:themeColor="text1"/>
              </w:rPr>
              <w:t>10</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072049" w:rsidRDefault="00072049">
            <w:pPr>
              <w:spacing w:line="276" w:lineRule="auto"/>
              <w:rPr>
                <w:rFonts w:eastAsiaTheme="minorHAnsi"/>
                <w:color w:val="000000" w:themeColor="text1"/>
              </w:rPr>
            </w:pPr>
            <w:r w:rsidRPr="00072049">
              <w:rPr>
                <w:color w:val="000000" w:themeColor="text1"/>
              </w:rPr>
              <w:t>Pre-Pricing evaluation</w:t>
            </w:r>
            <w:r w:rsidRPr="00072049">
              <w:rPr>
                <w:rStyle w:val="CommentReference"/>
                <w:color w:val="000000" w:themeColor="text1"/>
                <w:sz w:val="20"/>
                <w:szCs w:val="20"/>
              </w:rPr>
              <w:t> </w:t>
            </w:r>
            <w:r w:rsidRPr="00072049">
              <w:rPr>
                <w:rStyle w:val="CommentReference"/>
                <w:color w:val="000000" w:themeColor="text1"/>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8/9-8/13/12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11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ascii="Calibri" w:eastAsiaTheme="minorHAnsi" w:hAnsi="Calibri" w:cs="Calibri"/>
                <w:sz w:val="22"/>
                <w:szCs w:val="22"/>
              </w:rPr>
            </w:pPr>
            <w:r>
              <w:t>Cost Portion of Proposals Public opening</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ascii="Calibri" w:eastAsiaTheme="minorHAnsi" w:hAnsi="Calibri"/>
                <w:color w:val="000000" w:themeColor="text1"/>
                <w:sz w:val="22"/>
              </w:rPr>
            </w:pPr>
            <w:r>
              <w:rPr>
                <w:color w:val="000000" w:themeColor="text1"/>
              </w:rPr>
              <w:t>08/14</w:t>
            </w:r>
            <w:r w:rsidR="002A3839" w:rsidRPr="002A3839">
              <w:rPr>
                <w:color w:val="000000" w:themeColor="text1"/>
              </w:rPr>
              <w:t>/12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12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 xml:space="preserve">Notice of intent to award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8/21/12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13</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Execution of contract  between vendor and San Luis Obispo Superior Court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Pr>
                <w:color w:val="000000" w:themeColor="text1"/>
              </w:rPr>
              <w:t>9/14</w:t>
            </w:r>
            <w:r w:rsidR="002A3839" w:rsidRPr="002A3839">
              <w:rPr>
                <w:color w:val="000000" w:themeColor="text1"/>
              </w:rPr>
              <w:t>/12</w:t>
            </w:r>
          </w:p>
        </w:tc>
      </w:tr>
    </w:tbl>
    <w:p w:rsidR="00EA09FC" w:rsidRDefault="00EA09FC" w:rsidP="00EA09FC">
      <w:pPr>
        <w:keepNext/>
        <w:ind w:left="720" w:hanging="720"/>
        <w:rPr>
          <w:b/>
          <w:bCs/>
        </w:rPr>
      </w:pPr>
    </w:p>
    <w:p w:rsidR="00106A01" w:rsidRDefault="00EA09FC">
      <w:pPr>
        <w:keepNext/>
        <w:ind w:left="720" w:hanging="360"/>
        <w:rPr>
          <w:b/>
          <w:bCs/>
        </w:rPr>
      </w:pPr>
      <w:r>
        <w:rPr>
          <w:b/>
          <w:bCs/>
        </w:rPr>
        <w:t>4.2</w:t>
      </w:r>
      <w:r w:rsidRPr="005E0EE1">
        <w:rPr>
          <w:b/>
          <w:bCs/>
        </w:rPr>
        <w:t>.</w:t>
      </w:r>
      <w:r>
        <w:rPr>
          <w:b/>
          <w:bCs/>
        </w:rPr>
        <w:t xml:space="preserve"> </w:t>
      </w:r>
      <w:r w:rsidRPr="00D613D4">
        <w:rPr>
          <w:rFonts w:ascii="Times New Roman Bold" w:hAnsi="Times New Roman Bold"/>
          <w:b/>
          <w:caps/>
          <w:color w:val="000000"/>
        </w:rPr>
        <w:t>P</w:t>
      </w:r>
      <w:r w:rsidR="00C6732F">
        <w:rPr>
          <w:rFonts w:ascii="Times New Roman Bold" w:hAnsi="Times New Roman Bold"/>
          <w:b/>
          <w:caps/>
          <w:color w:val="000000"/>
        </w:rPr>
        <w:t>re-</w:t>
      </w:r>
      <w:r w:rsidRPr="00D613D4">
        <w:rPr>
          <w:rFonts w:ascii="Times New Roman Bold" w:hAnsi="Times New Roman Bold"/>
          <w:b/>
          <w:caps/>
          <w:color w:val="000000"/>
        </w:rPr>
        <w:t>proposal Conference</w:t>
      </w:r>
      <w:r>
        <w:rPr>
          <w:rFonts w:ascii="Times New Roman Bold" w:hAnsi="Times New Roman Bold"/>
          <w:b/>
          <w:caps/>
          <w:color w:val="000000"/>
        </w:rPr>
        <w:t xml:space="preserve">  </w:t>
      </w:r>
    </w:p>
    <w:p w:rsidR="00EA09FC" w:rsidRDefault="00EA09FC" w:rsidP="00EA09FC">
      <w:pPr>
        <w:keepNext/>
        <w:ind w:left="720" w:hanging="720"/>
        <w:rPr>
          <w:b/>
          <w:bCs/>
        </w:rPr>
      </w:pPr>
    </w:p>
    <w:p w:rsidR="00EA09FC" w:rsidRPr="009223FC" w:rsidRDefault="00EA09FC" w:rsidP="00EA09FC">
      <w:pPr>
        <w:keepNext/>
        <w:ind w:left="720" w:hanging="720"/>
        <w:rPr>
          <w:kern w:val="32"/>
        </w:rPr>
      </w:pPr>
      <w:r>
        <w:rPr>
          <w:b/>
          <w:bCs/>
        </w:rPr>
        <w:tab/>
      </w:r>
      <w:r w:rsidRPr="00D613D4">
        <w:rPr>
          <w:bCs/>
        </w:rPr>
        <w:t xml:space="preserve">The </w:t>
      </w:r>
      <w:r w:rsidR="00C221A1">
        <w:rPr>
          <w:bCs/>
        </w:rPr>
        <w:t xml:space="preserve">AOC and </w:t>
      </w:r>
      <w:r>
        <w:rPr>
          <w:bCs/>
        </w:rPr>
        <w:t>Court</w:t>
      </w:r>
      <w:r w:rsidRPr="00D613D4">
        <w:rPr>
          <w:bCs/>
        </w:rPr>
        <w:t xml:space="preserve"> will hold a pre-proposal conference </w:t>
      </w:r>
      <w:r w:rsidRPr="00F30406">
        <w:rPr>
          <w:bCs/>
        </w:rPr>
        <w:t xml:space="preserve">on the date identified in the timeline above.  The pre-proposal conference will be held </w:t>
      </w:r>
      <w:r w:rsidR="009223FC" w:rsidRPr="00F30406">
        <w:rPr>
          <w:bCs/>
        </w:rPr>
        <w:t>via conference call</w:t>
      </w:r>
      <w:r w:rsidR="00F30406" w:rsidRPr="00F30406">
        <w:rPr>
          <w:bCs/>
        </w:rPr>
        <w:t xml:space="preserve">.  Email </w:t>
      </w:r>
      <w:hyperlink r:id="rId18" w:history="1">
        <w:r w:rsidR="00F30406" w:rsidRPr="00F30406">
          <w:rPr>
            <w:rStyle w:val="Hyperlink"/>
            <w:bCs/>
          </w:rPr>
          <w:t>Soliciations@jud.ca.gov</w:t>
        </w:r>
      </w:hyperlink>
      <w:r w:rsidR="00F30406" w:rsidRPr="00F30406">
        <w:rPr>
          <w:bCs/>
        </w:rPr>
        <w:t xml:space="preserve"> to register for the conference. </w:t>
      </w:r>
      <w:r>
        <w:rPr>
          <w:bCs/>
        </w:rPr>
        <w:t>Attendance at the pre-proposal conference is optional.  Proposers are encouraged to attend.</w:t>
      </w:r>
    </w:p>
    <w:p w:rsidR="00EA09FC" w:rsidRDefault="00EA09FC" w:rsidP="002E7965">
      <w:pPr>
        <w:keepNext/>
        <w:rPr>
          <w:b/>
          <w:bCs/>
          <w:color w:val="000000"/>
        </w:rPr>
      </w:pPr>
    </w:p>
    <w:p w:rsidR="00EA09FC" w:rsidRDefault="00EA09FC" w:rsidP="002E7965">
      <w:pPr>
        <w:keepNext/>
        <w:rPr>
          <w:b/>
          <w:bCs/>
          <w:color w:val="000000"/>
        </w:rPr>
      </w:pPr>
    </w:p>
    <w:p w:rsidR="004B3068" w:rsidRDefault="004B3068" w:rsidP="002E7965">
      <w:pPr>
        <w:keepNext/>
        <w:rPr>
          <w:b/>
          <w:bCs/>
          <w:color w:val="000000"/>
        </w:rPr>
      </w:pPr>
    </w:p>
    <w:p w:rsidR="002E7965" w:rsidRDefault="00B855CB" w:rsidP="000C5FD1">
      <w:pPr>
        <w:keepNext/>
        <w:rPr>
          <w:b/>
          <w:bCs/>
          <w:color w:val="000000"/>
        </w:rPr>
      </w:pPr>
      <w:r>
        <w:rPr>
          <w:b/>
          <w:bCs/>
          <w:color w:val="000000"/>
        </w:rPr>
        <w:t>5</w:t>
      </w:r>
      <w:r w:rsidR="002E7965">
        <w:rPr>
          <w:b/>
          <w:bCs/>
          <w:color w:val="000000"/>
        </w:rPr>
        <w:t>.0</w:t>
      </w:r>
      <w:r w:rsidR="002E7965">
        <w:rPr>
          <w:b/>
          <w:bCs/>
          <w:color w:val="000000"/>
        </w:rPr>
        <w:tab/>
      </w:r>
      <w:r w:rsidR="002E7965" w:rsidRPr="00D74462">
        <w:rPr>
          <w:b/>
          <w:bCs/>
          <w:color w:val="000000"/>
        </w:rPr>
        <w:t>RFP ATTACHMENTS</w:t>
      </w:r>
    </w:p>
    <w:p w:rsidR="002E7965" w:rsidRDefault="002E7965" w:rsidP="002E7965">
      <w:pPr>
        <w:pStyle w:val="BodyTextIndent2"/>
        <w:spacing w:after="0"/>
        <w:ind w:left="720"/>
        <w:rPr>
          <w:color w:val="000000"/>
        </w:rPr>
      </w:pPr>
      <w:r>
        <w:rPr>
          <w:color w:val="000000"/>
        </w:rPr>
        <w:t>The following attachments are included as part of this RFP</w:t>
      </w:r>
      <w:r w:rsidR="008661CD">
        <w:rPr>
          <w:color w:val="000000"/>
        </w:rPr>
        <w:t>.</w:t>
      </w:r>
    </w:p>
    <w:p w:rsidR="00651E8D" w:rsidRDefault="00651E8D" w:rsidP="00F53BCD">
      <w:pPr>
        <w:pStyle w:val="BodyTextIndent2"/>
        <w:spacing w:after="0"/>
        <w:rPr>
          <w:color w:val="000000"/>
        </w:rPr>
      </w:pPr>
      <w:r>
        <w:t xml:space="preserve">5.1 </w:t>
      </w:r>
      <w:r>
        <w:rPr>
          <w:b/>
          <w:u w:val="single"/>
        </w:rPr>
        <w:t>Contractual Attachments</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5987"/>
      </w:tblGrid>
      <w:tr w:rsidR="002E7965" w:rsidRPr="003B7ABC" w:rsidTr="005F3B8C">
        <w:trPr>
          <w:tblHeader/>
        </w:trPr>
        <w:tc>
          <w:tcPr>
            <w:tcW w:w="0" w:type="auto"/>
            <w:shd w:val="clear" w:color="auto" w:fill="E6E6E6"/>
            <w:vAlign w:val="center"/>
          </w:tcPr>
          <w:p w:rsidR="002E7965" w:rsidRPr="00D77FEF" w:rsidRDefault="002E7965" w:rsidP="00651E8D">
            <w:pPr>
              <w:widowControl w:val="0"/>
              <w:tabs>
                <w:tab w:val="left" w:pos="6354"/>
              </w:tabs>
              <w:ind w:right="-18"/>
              <w:jc w:val="center"/>
              <w:rPr>
                <w:b/>
                <w:bCs/>
                <w:color w:val="000000"/>
              </w:rPr>
            </w:pPr>
            <w:r>
              <w:rPr>
                <w:b/>
                <w:bCs/>
                <w:color w:val="000000"/>
              </w:rPr>
              <w:t>ATTAC</w:t>
            </w:r>
            <w:r w:rsidR="00F7024B">
              <w:rPr>
                <w:b/>
                <w:bCs/>
                <w:color w:val="000000"/>
              </w:rPr>
              <w:t>H</w:t>
            </w:r>
            <w:r>
              <w:rPr>
                <w:b/>
                <w:bCs/>
                <w:color w:val="000000"/>
              </w:rPr>
              <w:t xml:space="preserve">MENT </w:t>
            </w:r>
          </w:p>
        </w:tc>
        <w:tc>
          <w:tcPr>
            <w:tcW w:w="0" w:type="auto"/>
            <w:shd w:val="clear" w:color="auto" w:fill="E6E6E6"/>
            <w:vAlign w:val="center"/>
          </w:tcPr>
          <w:p w:rsidR="002E7965" w:rsidRPr="00D77FEF" w:rsidRDefault="002E7965" w:rsidP="00651E8D">
            <w:pPr>
              <w:widowControl w:val="0"/>
              <w:ind w:left="-108" w:right="-108"/>
              <w:jc w:val="center"/>
              <w:rPr>
                <w:b/>
                <w:bCs/>
                <w:color w:val="000000"/>
                <w:sz w:val="22"/>
                <w:szCs w:val="22"/>
              </w:rPr>
            </w:pPr>
            <w:r>
              <w:rPr>
                <w:b/>
                <w:bCs/>
                <w:color w:val="000000"/>
                <w:sz w:val="22"/>
                <w:szCs w:val="22"/>
              </w:rPr>
              <w:t>DESCRIPTION</w:t>
            </w:r>
          </w:p>
        </w:tc>
      </w:tr>
      <w:tr w:rsidR="002E7965" w:rsidRPr="003B7ABC" w:rsidTr="005F3B8C">
        <w:trPr>
          <w:tblHeader/>
        </w:trPr>
        <w:tc>
          <w:tcPr>
            <w:tcW w:w="0" w:type="auto"/>
          </w:tcPr>
          <w:p w:rsidR="002E7965" w:rsidRPr="00F85DDD" w:rsidRDefault="002E7965" w:rsidP="00070FCA">
            <w:pPr>
              <w:widowControl w:val="0"/>
              <w:rPr>
                <w:bCs/>
                <w:color w:val="000000" w:themeColor="text1"/>
              </w:rPr>
            </w:pPr>
            <w:r w:rsidRPr="00F85DDD">
              <w:rPr>
                <w:bCs/>
                <w:color w:val="000000" w:themeColor="text1"/>
              </w:rPr>
              <w:t xml:space="preserve">Attachment 1: Administrative Rules Governing </w:t>
            </w:r>
            <w:r w:rsidR="00531D6E">
              <w:rPr>
                <w:bCs/>
                <w:color w:val="000000" w:themeColor="text1"/>
              </w:rPr>
              <w:t>RFPs (</w:t>
            </w:r>
            <w:r w:rsidR="00070FCA" w:rsidRPr="00F85DDD">
              <w:rPr>
                <w:bCs/>
                <w:color w:val="000000" w:themeColor="text1"/>
              </w:rPr>
              <w:t xml:space="preserve">IT </w:t>
            </w:r>
            <w:r w:rsidR="00531D6E">
              <w:rPr>
                <w:bCs/>
                <w:color w:val="000000" w:themeColor="text1"/>
              </w:rPr>
              <w:t xml:space="preserve">Goods and </w:t>
            </w:r>
            <w:r w:rsidR="00070FCA" w:rsidRPr="00F85DDD">
              <w:rPr>
                <w:bCs/>
                <w:color w:val="000000" w:themeColor="text1"/>
              </w:rPr>
              <w:t>Services)</w:t>
            </w:r>
            <w:r w:rsidRPr="00AB2FC2">
              <w:rPr>
                <w:bCs/>
                <w:vanish/>
                <w:color w:val="000000" w:themeColor="text1"/>
                <w:sz w:val="22"/>
                <w:szCs w:val="22"/>
              </w:rPr>
              <w:t>:</w:t>
            </w:r>
          </w:p>
        </w:tc>
        <w:tc>
          <w:tcPr>
            <w:tcW w:w="0" w:type="auto"/>
          </w:tcPr>
          <w:p w:rsidR="002E7965" w:rsidRPr="006F6D6E" w:rsidRDefault="002E7965" w:rsidP="00651E8D">
            <w:pPr>
              <w:widowControl w:val="0"/>
              <w:tabs>
                <w:tab w:val="left" w:pos="2178"/>
              </w:tabs>
              <w:rPr>
                <w:bCs/>
                <w:i/>
                <w:color w:val="FF0000"/>
                <w:sz w:val="22"/>
                <w:szCs w:val="22"/>
              </w:rPr>
            </w:pPr>
            <w:r>
              <w:t>These rules govern this solicitation</w:t>
            </w:r>
            <w:r w:rsidRPr="000900BC">
              <w:t>.</w:t>
            </w:r>
          </w:p>
        </w:tc>
      </w:tr>
      <w:tr w:rsidR="002E7965" w:rsidRPr="003B7ABC" w:rsidTr="005F3B8C">
        <w:trPr>
          <w:tblHeader/>
        </w:trPr>
        <w:tc>
          <w:tcPr>
            <w:tcW w:w="0" w:type="auto"/>
          </w:tcPr>
          <w:p w:rsidR="002E7965" w:rsidRPr="00AB2FC2" w:rsidRDefault="002E7965" w:rsidP="00651E8D">
            <w:pPr>
              <w:widowControl w:val="0"/>
              <w:rPr>
                <w:bCs/>
                <w:sz w:val="22"/>
                <w:szCs w:val="22"/>
              </w:rPr>
            </w:pPr>
            <w:r>
              <w:rPr>
                <w:bCs/>
                <w:color w:val="000000" w:themeColor="text1"/>
                <w:sz w:val="22"/>
                <w:szCs w:val="22"/>
              </w:rPr>
              <w:t xml:space="preserve">Attachment </w:t>
            </w:r>
            <w:r w:rsidRPr="00AB2FC2">
              <w:rPr>
                <w:color w:val="000000"/>
              </w:rPr>
              <w:t>2</w:t>
            </w:r>
            <w:r>
              <w:rPr>
                <w:color w:val="000000"/>
              </w:rPr>
              <w:t>:</w:t>
            </w:r>
            <w:r w:rsidR="00133F5A">
              <w:rPr>
                <w:color w:val="000000"/>
              </w:rPr>
              <w:t xml:space="preserve"> </w:t>
            </w:r>
            <w:r w:rsidR="008B50E8">
              <w:rPr>
                <w:color w:val="000000"/>
              </w:rPr>
              <w:t>Court</w:t>
            </w:r>
            <w:r w:rsidR="00133F5A">
              <w:rPr>
                <w:color w:val="000000"/>
              </w:rPr>
              <w:t xml:space="preserve"> Standard </w:t>
            </w:r>
            <w:r w:rsidR="004E669D">
              <w:rPr>
                <w:color w:val="000000"/>
              </w:rPr>
              <w:t>Terms and Conditions</w:t>
            </w:r>
          </w:p>
        </w:tc>
        <w:tc>
          <w:tcPr>
            <w:tcW w:w="0" w:type="auto"/>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proposal (the “Proposer”) </w:t>
            </w:r>
            <w:r w:rsidR="004A337A">
              <w:rPr>
                <w:color w:val="000000"/>
              </w:rPr>
              <w:t>must</w:t>
            </w:r>
            <w:r w:rsidR="002E7965" w:rsidRPr="005E0EE1">
              <w:rPr>
                <w:color w:val="000000"/>
              </w:rPr>
              <w:t xml:space="preserve"> sign</w:t>
            </w:r>
            <w:r w:rsidR="002E7965">
              <w:rPr>
                <w:color w:val="000000"/>
              </w:rPr>
              <w:t xml:space="preserve"> </w:t>
            </w:r>
            <w:r w:rsidR="004E669D">
              <w:rPr>
                <w:color w:val="000000"/>
              </w:rPr>
              <w:t xml:space="preserve">a </w:t>
            </w:r>
            <w:r w:rsidR="008B50E8">
              <w:rPr>
                <w:color w:val="000000"/>
              </w:rPr>
              <w:t>Court</w:t>
            </w:r>
            <w:r w:rsidR="004E669D">
              <w:rPr>
                <w:color w:val="000000"/>
              </w:rPr>
              <w:t xml:space="preserve"> Standard Form </w:t>
            </w:r>
            <w:r w:rsidR="00AA10F6">
              <w:rPr>
                <w:color w:val="000000"/>
              </w:rPr>
              <w:t>A</w:t>
            </w:r>
            <w:r w:rsidR="004E669D">
              <w:rPr>
                <w:color w:val="000000"/>
              </w:rPr>
              <w:t xml:space="preserve">greement containing these terms and conditions </w:t>
            </w:r>
            <w:r w:rsidR="00133F5A">
              <w:rPr>
                <w:color w:val="000000"/>
              </w:rPr>
              <w:t>(the “</w:t>
            </w:r>
            <w:r w:rsidR="004E669D">
              <w:rPr>
                <w:color w:val="000000"/>
              </w:rPr>
              <w:t>Terms and Conditions</w:t>
            </w:r>
            <w:r w:rsidR="00133F5A">
              <w:rPr>
                <w:color w:val="000000"/>
              </w:rPr>
              <w:t>”</w:t>
            </w:r>
            <w:r>
              <w:rPr>
                <w:color w:val="000000"/>
              </w:rPr>
              <w:t>)</w:t>
            </w:r>
            <w:r w:rsidR="00AA10F6">
              <w:rPr>
                <w:color w:val="000000"/>
              </w:rPr>
              <w:t>.</w:t>
            </w:r>
          </w:p>
          <w:p w:rsidR="004E669D" w:rsidRDefault="004E669D" w:rsidP="00133F5A">
            <w:pPr>
              <w:widowControl w:val="0"/>
              <w:tabs>
                <w:tab w:val="left" w:pos="2178"/>
              </w:tabs>
              <w:rPr>
                <w:color w:val="000000"/>
              </w:rPr>
            </w:pPr>
          </w:p>
          <w:p w:rsidR="002E7965" w:rsidRPr="00D77FEF" w:rsidRDefault="002E7965" w:rsidP="00E51C25">
            <w:pPr>
              <w:widowControl w:val="0"/>
              <w:tabs>
                <w:tab w:val="left" w:pos="2178"/>
              </w:tabs>
              <w:rPr>
                <w:b/>
                <w:bCs/>
                <w:color w:val="000000"/>
                <w:sz w:val="22"/>
                <w:szCs w:val="22"/>
              </w:rPr>
            </w:pPr>
          </w:p>
        </w:tc>
      </w:tr>
      <w:tr w:rsidR="004E669D" w:rsidRPr="003B7ABC" w:rsidTr="005F3B8C">
        <w:trPr>
          <w:tblHeader/>
        </w:trPr>
        <w:tc>
          <w:tcPr>
            <w:tcW w:w="0" w:type="auto"/>
          </w:tcPr>
          <w:p w:rsidR="004E669D" w:rsidRPr="00AB2FC2" w:rsidRDefault="004E669D" w:rsidP="004E669D">
            <w:pPr>
              <w:widowControl w:val="0"/>
              <w:rPr>
                <w:bCs/>
                <w:sz w:val="22"/>
                <w:szCs w:val="22"/>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Proposer’s Acceptance</w:t>
            </w:r>
            <w:r>
              <w:rPr>
                <w:color w:val="000000"/>
              </w:rPr>
              <w:t xml:space="preserve"> of Terms and Conditions</w:t>
            </w:r>
          </w:p>
        </w:tc>
        <w:tc>
          <w:tcPr>
            <w:tcW w:w="0" w:type="auto"/>
          </w:tcPr>
          <w:p w:rsidR="004E669D" w:rsidRDefault="005946B6" w:rsidP="00133F5A">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4E669D" w:rsidRDefault="004E669D" w:rsidP="00133F5A">
            <w:pPr>
              <w:widowControl w:val="0"/>
              <w:tabs>
                <w:tab w:val="left" w:pos="2178"/>
              </w:tabs>
              <w:rPr>
                <w:color w:val="000000"/>
              </w:rPr>
            </w:pPr>
          </w:p>
          <w:p w:rsidR="004E669D" w:rsidRPr="00133F5A" w:rsidRDefault="004E669D" w:rsidP="003020A2">
            <w:pPr>
              <w:widowControl w:val="0"/>
              <w:tabs>
                <w:tab w:val="left" w:pos="2178"/>
              </w:tabs>
              <w:rPr>
                <w:b/>
                <w:bCs/>
                <w:color w:val="000000"/>
                <w:sz w:val="22"/>
                <w:szCs w:val="22"/>
              </w:rPr>
            </w:pPr>
          </w:p>
        </w:tc>
      </w:tr>
      <w:tr w:rsidR="00B6606B" w:rsidRPr="003B7ABC" w:rsidTr="005F3B8C">
        <w:trPr>
          <w:tblHeader/>
        </w:trPr>
        <w:tc>
          <w:tcPr>
            <w:tcW w:w="0" w:type="auto"/>
          </w:tcPr>
          <w:p w:rsidR="00B6606B" w:rsidRDefault="006D4E57" w:rsidP="00D875F9">
            <w:pPr>
              <w:widowControl w:val="0"/>
              <w:rPr>
                <w:bCs/>
                <w:sz w:val="22"/>
                <w:szCs w:val="22"/>
              </w:rPr>
            </w:pPr>
            <w:r>
              <w:rPr>
                <w:bCs/>
                <w:sz w:val="22"/>
                <w:szCs w:val="22"/>
              </w:rPr>
              <w:t>Attachment 4</w:t>
            </w:r>
            <w:r w:rsidR="00B6606B">
              <w:rPr>
                <w:bCs/>
                <w:sz w:val="22"/>
                <w:szCs w:val="22"/>
              </w:rPr>
              <w:t>:</w:t>
            </w:r>
            <w:r w:rsidR="00B6606B">
              <w:t xml:space="preserve"> </w:t>
            </w:r>
            <w:r w:rsidR="00D875F9">
              <w:rPr>
                <w:bCs/>
                <w:sz w:val="22"/>
                <w:szCs w:val="22"/>
              </w:rPr>
              <w:t>Vendor</w:t>
            </w:r>
            <w:r w:rsidR="00B6606B" w:rsidRPr="00B6606B">
              <w:rPr>
                <w:bCs/>
                <w:sz w:val="22"/>
                <w:szCs w:val="22"/>
              </w:rPr>
              <w:t xml:space="preserve"> Data Record</w:t>
            </w:r>
            <w:r w:rsidR="00B6606B">
              <w:rPr>
                <w:bCs/>
                <w:sz w:val="22"/>
                <w:szCs w:val="22"/>
              </w:rPr>
              <w:t xml:space="preserve"> Form</w:t>
            </w:r>
          </w:p>
        </w:tc>
        <w:tc>
          <w:tcPr>
            <w:tcW w:w="0" w:type="auto"/>
          </w:tcPr>
          <w:p w:rsidR="00B6606B" w:rsidRPr="00380F9A" w:rsidRDefault="00B6606B" w:rsidP="00B6606B">
            <w:pPr>
              <w:widowControl w:val="0"/>
            </w:pPr>
            <w:r w:rsidRPr="00F45FCC">
              <w:rPr>
                <w:bCs/>
              </w:rPr>
              <w:t xml:space="preserve">This form contains information the </w:t>
            </w:r>
            <w:r>
              <w:rPr>
                <w:bCs/>
              </w:rPr>
              <w:t>Court</w:t>
            </w:r>
            <w:r w:rsidRPr="00F45FCC">
              <w:rPr>
                <w:bCs/>
              </w:rPr>
              <w:t xml:space="preserve"> requires in order to process payments and must be submitted with </w:t>
            </w:r>
            <w:r>
              <w:rPr>
                <w:bCs/>
              </w:rPr>
              <w:t xml:space="preserve">the </w:t>
            </w:r>
            <w:r w:rsidRPr="00F45FCC">
              <w:rPr>
                <w:bCs/>
              </w:rPr>
              <w:t>proposal.</w:t>
            </w:r>
          </w:p>
        </w:tc>
      </w:tr>
      <w:tr w:rsidR="001A3573" w:rsidRPr="003B7ABC" w:rsidTr="005F3B8C">
        <w:trPr>
          <w:tblHeader/>
        </w:trPr>
        <w:tc>
          <w:tcPr>
            <w:tcW w:w="0" w:type="auto"/>
          </w:tcPr>
          <w:p w:rsidR="001A3573" w:rsidRDefault="006D4E57" w:rsidP="0042790F">
            <w:pPr>
              <w:widowControl w:val="0"/>
              <w:rPr>
                <w:bCs/>
                <w:sz w:val="22"/>
                <w:szCs w:val="22"/>
              </w:rPr>
            </w:pPr>
            <w:r>
              <w:rPr>
                <w:bCs/>
                <w:sz w:val="22"/>
                <w:szCs w:val="22"/>
              </w:rPr>
              <w:t>Attachment 5</w:t>
            </w:r>
            <w:r w:rsidR="001A3573">
              <w:rPr>
                <w:bCs/>
                <w:sz w:val="22"/>
                <w:szCs w:val="22"/>
              </w:rPr>
              <w:t>: Iran Contracting Act Certification</w:t>
            </w:r>
            <w:r w:rsidR="0042790F">
              <w:rPr>
                <w:bCs/>
                <w:sz w:val="22"/>
                <w:szCs w:val="22"/>
              </w:rPr>
              <w:t xml:space="preserve"> </w:t>
            </w:r>
            <w:r w:rsidR="0042790F" w:rsidRPr="00C221A1">
              <w:rPr>
                <w:bCs/>
                <w:color w:val="000000" w:themeColor="text1"/>
                <w:sz w:val="22"/>
                <w:szCs w:val="22"/>
              </w:rPr>
              <w:t>(</w:t>
            </w:r>
            <w:r w:rsidR="0042790F" w:rsidRPr="00C221A1">
              <w:rPr>
                <w:b/>
                <w:i/>
                <w:color w:val="000000" w:themeColor="text1"/>
              </w:rPr>
              <w:t xml:space="preserve"> If award is $1,000,000 or greater)</w:t>
            </w:r>
          </w:p>
        </w:tc>
        <w:tc>
          <w:tcPr>
            <w:tcW w:w="0" w:type="auto"/>
          </w:tcPr>
          <w:p w:rsidR="001A3573" w:rsidRPr="00F45FCC" w:rsidRDefault="001A3573" w:rsidP="00A60FB3">
            <w:pPr>
              <w:widowControl w:val="0"/>
              <w:rPr>
                <w:bCs/>
              </w:rPr>
            </w:pPr>
            <w:r>
              <w:t>Proposer</w:t>
            </w:r>
            <w:r w:rsidRPr="00380F9A">
              <w:t xml:space="preserve"> must complete the </w:t>
            </w:r>
            <w:r w:rsidR="00A60FB3">
              <w:t>Iran</w:t>
            </w:r>
            <w:r w:rsidRPr="00380F9A">
              <w:t xml:space="preserve"> Contracting Act Certif</w:t>
            </w:r>
            <w:r>
              <w:t>ication and submit the completed certification with its proposal</w:t>
            </w:r>
            <w:r w:rsidRPr="00380F9A">
              <w:t>.</w:t>
            </w:r>
          </w:p>
        </w:tc>
      </w:tr>
      <w:tr w:rsidR="00C31160" w:rsidRPr="003B7ABC" w:rsidTr="00C31160">
        <w:trPr>
          <w:trHeight w:val="575"/>
          <w:tblHeader/>
        </w:trPr>
        <w:tc>
          <w:tcPr>
            <w:tcW w:w="0" w:type="auto"/>
          </w:tcPr>
          <w:p w:rsidR="00C31160" w:rsidRDefault="00C31160" w:rsidP="004F0101">
            <w:pPr>
              <w:widowControl w:val="0"/>
              <w:rPr>
                <w:bCs/>
                <w:sz w:val="22"/>
                <w:szCs w:val="22"/>
              </w:rPr>
            </w:pPr>
            <w:r>
              <w:rPr>
                <w:bCs/>
                <w:sz w:val="22"/>
                <w:szCs w:val="22"/>
              </w:rPr>
              <w:t xml:space="preserve">Attachment 6: Conflict of Interest </w:t>
            </w:r>
            <w:r w:rsidR="004F0101">
              <w:rPr>
                <w:bCs/>
                <w:sz w:val="22"/>
                <w:szCs w:val="22"/>
              </w:rPr>
              <w:t>Certification</w:t>
            </w:r>
          </w:p>
        </w:tc>
        <w:tc>
          <w:tcPr>
            <w:tcW w:w="0" w:type="auto"/>
          </w:tcPr>
          <w:p w:rsidR="00C31160" w:rsidRDefault="00C31160" w:rsidP="00C31160">
            <w:pPr>
              <w:widowControl w:val="0"/>
            </w:pPr>
            <w:r>
              <w:t>On this form, the Proposer indicates that there is</w:t>
            </w:r>
            <w:r w:rsidRPr="001C4401">
              <w:rPr>
                <w:bCs/>
                <w:color w:val="000000"/>
              </w:rPr>
              <w:t xml:space="preserve"> no interest that would constitute a conflict of interest under California</w:t>
            </w:r>
            <w:r>
              <w:rPr>
                <w:bCs/>
                <w:color w:val="000000"/>
              </w:rPr>
              <w:t xml:space="preserve"> Law</w:t>
            </w:r>
          </w:p>
        </w:tc>
      </w:tr>
    </w:tbl>
    <w:p w:rsidR="002E7965" w:rsidRDefault="002E7965" w:rsidP="002E7965">
      <w:pPr>
        <w:widowControl w:val="0"/>
        <w:ind w:left="1440"/>
        <w:rPr>
          <w:bCs/>
        </w:rPr>
      </w:pPr>
    </w:p>
    <w:p w:rsidR="00651E8D" w:rsidRDefault="00651E8D" w:rsidP="00651E8D">
      <w:pPr>
        <w:keepNext/>
        <w:ind w:left="360"/>
        <w:rPr>
          <w:b/>
          <w:bCs/>
          <w:color w:val="000000"/>
        </w:rPr>
      </w:pPr>
      <w:r w:rsidRPr="00651E8D">
        <w:t>5.2</w:t>
      </w:r>
      <w:r>
        <w:rPr>
          <w:b/>
          <w:u w:val="single"/>
        </w:rPr>
        <w:t xml:space="preserve"> CMS Requirements and Court Informational Attachments</w:t>
      </w:r>
    </w:p>
    <w:p w:rsidR="00651E8D" w:rsidRDefault="00651E8D" w:rsidP="00651E8D">
      <w:pPr>
        <w:widowControl w:val="0"/>
        <w:ind w:left="144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3"/>
        <w:gridCol w:w="5595"/>
      </w:tblGrid>
      <w:tr w:rsidR="00651E8D" w:rsidRPr="00651E8D" w:rsidTr="005F3B8C">
        <w:trPr>
          <w:trHeight w:val="330"/>
        </w:trPr>
        <w:tc>
          <w:tcPr>
            <w:tcW w:w="0" w:type="auto"/>
            <w:hideMark/>
          </w:tcPr>
          <w:p w:rsidR="00651E8D" w:rsidRPr="00651E8D" w:rsidRDefault="00651E8D" w:rsidP="00651E8D">
            <w:pPr>
              <w:pStyle w:val="ListParagraph"/>
              <w:rPr>
                <w:b/>
                <w:bCs/>
              </w:rPr>
            </w:pPr>
            <w:r w:rsidRPr="00651E8D">
              <w:rPr>
                <w:rFonts w:hint="cs"/>
                <w:b/>
                <w:bCs/>
              </w:rPr>
              <w:t>ATTAC</w:t>
            </w:r>
            <w:r w:rsidR="00F7024B">
              <w:rPr>
                <w:b/>
                <w:bCs/>
              </w:rPr>
              <w:t>H</w:t>
            </w:r>
            <w:r w:rsidRPr="00651E8D">
              <w:rPr>
                <w:rFonts w:hint="cs"/>
                <w:b/>
                <w:bCs/>
              </w:rPr>
              <w:t xml:space="preserve">MENT </w:t>
            </w:r>
          </w:p>
        </w:tc>
        <w:tc>
          <w:tcPr>
            <w:tcW w:w="0" w:type="auto"/>
            <w:hideMark/>
          </w:tcPr>
          <w:p w:rsidR="00651E8D" w:rsidRPr="00651E8D" w:rsidRDefault="00651E8D" w:rsidP="00651E8D">
            <w:pPr>
              <w:pStyle w:val="ListParagraph"/>
              <w:rPr>
                <w:b/>
                <w:bCs/>
              </w:rPr>
            </w:pPr>
            <w:r w:rsidRPr="00651E8D">
              <w:rPr>
                <w:rFonts w:hint="cs"/>
                <w:b/>
                <w:bCs/>
              </w:rPr>
              <w:t>DESCRIPTION</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7</w:t>
            </w:r>
            <w:r w:rsidR="00651E8D" w:rsidRPr="00651E8D">
              <w:t xml:space="preserve"> </w:t>
            </w:r>
          </w:p>
        </w:tc>
        <w:tc>
          <w:tcPr>
            <w:tcW w:w="0" w:type="auto"/>
            <w:hideMark/>
          </w:tcPr>
          <w:p w:rsidR="00651E8D" w:rsidRPr="00651E8D" w:rsidRDefault="00651E8D" w:rsidP="00651E8D">
            <w:pPr>
              <w:pStyle w:val="ListParagraph"/>
            </w:pPr>
            <w:r w:rsidRPr="00651E8D">
              <w:t>Business and Functional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8</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Testing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9</w:t>
            </w:r>
            <w:r w:rsidR="00651E8D" w:rsidRPr="00651E8D">
              <w:t xml:space="preserve"> </w:t>
            </w:r>
          </w:p>
        </w:tc>
        <w:tc>
          <w:tcPr>
            <w:tcW w:w="0" w:type="auto"/>
            <w:hideMark/>
          </w:tcPr>
          <w:p w:rsidR="00651E8D" w:rsidRPr="00651E8D" w:rsidRDefault="00651E8D" w:rsidP="00651E8D">
            <w:pPr>
              <w:pStyle w:val="ListParagraph"/>
            </w:pPr>
            <w:r w:rsidRPr="00651E8D">
              <w:t xml:space="preserve">Configuration Requirements </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10</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Training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11</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Integration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Attachment 1</w:t>
            </w:r>
            <w:r w:rsidR="00780E74">
              <w:rPr>
                <w:bCs/>
              </w:rPr>
              <w:t>2</w:t>
            </w:r>
          </w:p>
        </w:tc>
        <w:tc>
          <w:tcPr>
            <w:tcW w:w="0" w:type="auto"/>
            <w:hideMark/>
          </w:tcPr>
          <w:p w:rsidR="00651E8D" w:rsidRPr="00651E8D" w:rsidRDefault="00323F35" w:rsidP="00651E8D">
            <w:pPr>
              <w:pStyle w:val="ListParagraph"/>
            </w:pPr>
            <w:r>
              <w:t>Network-</w:t>
            </w:r>
            <w:r w:rsidR="00651E8D" w:rsidRPr="00651E8D">
              <w:t>Desktop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13</w:t>
            </w:r>
            <w:r w:rsidR="00651E8D" w:rsidRPr="00651E8D">
              <w:rPr>
                <w:bCs/>
              </w:rPr>
              <w:t xml:space="preserve"> </w:t>
            </w:r>
            <w:r w:rsidR="00651E8D" w:rsidRPr="00651E8D">
              <w:t xml:space="preserve"> </w:t>
            </w:r>
          </w:p>
        </w:tc>
        <w:tc>
          <w:tcPr>
            <w:tcW w:w="0" w:type="auto"/>
            <w:hideMark/>
          </w:tcPr>
          <w:p w:rsidR="00651E8D" w:rsidRPr="00651E8D" w:rsidRDefault="00160E9F" w:rsidP="00651E8D">
            <w:pPr>
              <w:pStyle w:val="ListParagraph"/>
            </w:pPr>
            <w:r>
              <w:t>Application/Architecture/</w:t>
            </w:r>
            <w:r w:rsidR="00651E8D" w:rsidRPr="00651E8D">
              <w:t>Security Requirements</w:t>
            </w:r>
          </w:p>
        </w:tc>
      </w:tr>
      <w:tr w:rsidR="00651E8D" w:rsidRPr="00651E8D" w:rsidTr="005F3B8C">
        <w:trPr>
          <w:trHeight w:val="315"/>
        </w:trPr>
        <w:tc>
          <w:tcPr>
            <w:tcW w:w="0" w:type="auto"/>
            <w:hideMark/>
          </w:tcPr>
          <w:p w:rsidR="00651E8D" w:rsidRPr="00651E8D" w:rsidRDefault="00651E8D" w:rsidP="00651E8D">
            <w:pPr>
              <w:pStyle w:val="ListParagraph"/>
            </w:pPr>
            <w:r w:rsidRPr="00651E8D">
              <w:rPr>
                <w:bCs/>
              </w:rPr>
              <w:t>Attachment 1</w:t>
            </w:r>
            <w:r w:rsidR="00780E74">
              <w:rPr>
                <w:bCs/>
              </w:rPr>
              <w:t>4</w:t>
            </w:r>
          </w:p>
        </w:tc>
        <w:tc>
          <w:tcPr>
            <w:tcW w:w="0" w:type="auto"/>
            <w:hideMark/>
          </w:tcPr>
          <w:p w:rsidR="00651E8D" w:rsidRPr="00651E8D" w:rsidRDefault="00651E8D" w:rsidP="00651E8D">
            <w:pPr>
              <w:pStyle w:val="ListParagraph"/>
            </w:pPr>
            <w:r w:rsidRPr="00651E8D">
              <w:t>DMS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15</w:t>
            </w:r>
            <w:r w:rsidR="00651E8D" w:rsidRPr="00651E8D">
              <w:t xml:space="preserve"> </w:t>
            </w:r>
          </w:p>
        </w:tc>
        <w:tc>
          <w:tcPr>
            <w:tcW w:w="0" w:type="auto"/>
            <w:hideMark/>
          </w:tcPr>
          <w:p w:rsidR="00651E8D" w:rsidRPr="00651E8D" w:rsidRDefault="00651E8D" w:rsidP="00651E8D">
            <w:pPr>
              <w:pStyle w:val="ListParagraph"/>
            </w:pPr>
            <w:r w:rsidRPr="00651E8D">
              <w:t>San Luis Obispo Court Information</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16</w:t>
            </w:r>
            <w:r w:rsidR="00651E8D" w:rsidRPr="00651E8D">
              <w:t xml:space="preserve"> </w:t>
            </w:r>
          </w:p>
        </w:tc>
        <w:tc>
          <w:tcPr>
            <w:tcW w:w="0" w:type="auto"/>
            <w:hideMark/>
          </w:tcPr>
          <w:p w:rsidR="00651E8D" w:rsidRPr="00651E8D" w:rsidRDefault="00651E8D" w:rsidP="00316932">
            <w:pPr>
              <w:pStyle w:val="ListParagraph"/>
            </w:pPr>
            <w:r w:rsidRPr="00651E8D">
              <w:t>SLO CMS RFP Costing Matrix</w:t>
            </w:r>
          </w:p>
        </w:tc>
      </w:tr>
      <w:tr w:rsidR="00651E8D" w:rsidRPr="00651E8D" w:rsidTr="005F3B8C">
        <w:trPr>
          <w:trHeight w:val="315"/>
        </w:trPr>
        <w:tc>
          <w:tcPr>
            <w:tcW w:w="0" w:type="auto"/>
            <w:hideMark/>
          </w:tcPr>
          <w:p w:rsidR="00651E8D" w:rsidRPr="00651E8D" w:rsidRDefault="00327A6E" w:rsidP="00651E8D">
            <w:pPr>
              <w:pStyle w:val="ListParagraph"/>
            </w:pPr>
            <w:r>
              <w:rPr>
                <w:bCs/>
              </w:rPr>
              <w:t>Attachment 1</w:t>
            </w:r>
            <w:r w:rsidR="00780E74">
              <w:rPr>
                <w:bCs/>
              </w:rPr>
              <w:t>7</w:t>
            </w:r>
            <w:r w:rsidR="00651E8D" w:rsidRPr="00651E8D">
              <w:t xml:space="preserve"> </w:t>
            </w:r>
          </w:p>
        </w:tc>
        <w:tc>
          <w:tcPr>
            <w:tcW w:w="0" w:type="auto"/>
            <w:hideMark/>
          </w:tcPr>
          <w:p w:rsidR="00651E8D" w:rsidRPr="00651E8D" w:rsidRDefault="00651E8D" w:rsidP="00651E8D">
            <w:pPr>
              <w:pStyle w:val="ListParagraph"/>
            </w:pPr>
            <w:r w:rsidRPr="00651E8D">
              <w:t>RFP Response Template</w:t>
            </w:r>
          </w:p>
        </w:tc>
      </w:tr>
    </w:tbl>
    <w:p w:rsidR="00A50B42" w:rsidRDefault="00A50B42" w:rsidP="00A50B42">
      <w:pPr>
        <w:pStyle w:val="ListParagraph"/>
      </w:pPr>
    </w:p>
    <w:p w:rsidR="003252B9" w:rsidRDefault="003252B9" w:rsidP="00B45FCC">
      <w:pPr>
        <w:keepNext/>
        <w:ind w:left="360"/>
      </w:pPr>
    </w:p>
    <w:p w:rsidR="003252B9" w:rsidRDefault="003252B9" w:rsidP="00B45FCC">
      <w:pPr>
        <w:keepNext/>
        <w:ind w:left="360"/>
      </w:pPr>
    </w:p>
    <w:p w:rsidR="00B45FCC" w:rsidRDefault="00B45FCC" w:rsidP="00B45FCC">
      <w:pPr>
        <w:keepNext/>
        <w:ind w:left="360"/>
        <w:rPr>
          <w:b/>
          <w:bCs/>
          <w:color w:val="000000"/>
        </w:rPr>
      </w:pPr>
      <w:r>
        <w:t>5.3</w:t>
      </w:r>
      <w:r>
        <w:rPr>
          <w:b/>
          <w:u w:val="single"/>
        </w:rPr>
        <w:t xml:space="preserve"> CMS Functional Requirements Exhibits</w:t>
      </w:r>
    </w:p>
    <w:p w:rsidR="00B45FCC" w:rsidRDefault="00B45FCC" w:rsidP="00B45FCC">
      <w:pPr>
        <w:widowControl w:val="0"/>
        <w:ind w:left="144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3"/>
        <w:gridCol w:w="6893"/>
      </w:tblGrid>
      <w:tr w:rsidR="00B45FCC" w:rsidRPr="00651E8D" w:rsidTr="00F7024B">
        <w:trPr>
          <w:trHeight w:val="330"/>
        </w:trPr>
        <w:tc>
          <w:tcPr>
            <w:tcW w:w="1325" w:type="pct"/>
            <w:hideMark/>
          </w:tcPr>
          <w:p w:rsidR="00B45FCC" w:rsidRPr="00651E8D" w:rsidRDefault="00B45FCC" w:rsidP="00BF035C">
            <w:pPr>
              <w:pStyle w:val="ListParagraph"/>
              <w:rPr>
                <w:b/>
                <w:bCs/>
              </w:rPr>
            </w:pPr>
            <w:r w:rsidRPr="00651E8D">
              <w:rPr>
                <w:rFonts w:hint="cs"/>
                <w:b/>
                <w:bCs/>
              </w:rPr>
              <w:t>ATTAC</w:t>
            </w:r>
            <w:r w:rsidR="00F7024B">
              <w:rPr>
                <w:b/>
                <w:bCs/>
              </w:rPr>
              <w:t>H</w:t>
            </w:r>
            <w:r w:rsidRPr="00651E8D">
              <w:rPr>
                <w:rFonts w:hint="cs"/>
                <w:b/>
                <w:bCs/>
              </w:rPr>
              <w:t xml:space="preserve">MENT </w:t>
            </w:r>
          </w:p>
        </w:tc>
        <w:tc>
          <w:tcPr>
            <w:tcW w:w="3675" w:type="pct"/>
            <w:hideMark/>
          </w:tcPr>
          <w:p w:rsidR="00B45FCC" w:rsidRPr="00651E8D" w:rsidRDefault="00B45FCC" w:rsidP="00BF035C">
            <w:pPr>
              <w:pStyle w:val="ListParagraph"/>
              <w:rPr>
                <w:b/>
                <w:bCs/>
              </w:rPr>
            </w:pPr>
            <w:r w:rsidRPr="00651E8D">
              <w:rPr>
                <w:rFonts w:hint="cs"/>
                <w:b/>
                <w:bCs/>
              </w:rPr>
              <w:t>DESCRIPTION</w:t>
            </w:r>
          </w:p>
        </w:tc>
      </w:tr>
      <w:tr w:rsidR="00B45FCC" w:rsidRPr="00651E8D" w:rsidTr="00F7024B">
        <w:trPr>
          <w:trHeight w:val="315"/>
        </w:trPr>
        <w:tc>
          <w:tcPr>
            <w:tcW w:w="1325" w:type="pct"/>
            <w:hideMark/>
          </w:tcPr>
          <w:p w:rsidR="00B45FCC" w:rsidRPr="00651E8D" w:rsidRDefault="00B45FCC" w:rsidP="00BF035C">
            <w:pPr>
              <w:pStyle w:val="ListParagraph"/>
            </w:pPr>
            <w:r>
              <w:rPr>
                <w:bCs/>
              </w:rPr>
              <w:t>Exhibit A</w:t>
            </w:r>
          </w:p>
        </w:tc>
        <w:tc>
          <w:tcPr>
            <w:tcW w:w="3675" w:type="pct"/>
            <w:hideMark/>
          </w:tcPr>
          <w:p w:rsidR="00B45FCC" w:rsidRPr="00651E8D" w:rsidRDefault="00B45FCC" w:rsidP="00BF035C">
            <w:pPr>
              <w:pStyle w:val="ListParagraph"/>
            </w:pPr>
            <w:r w:rsidRPr="00B45FCC">
              <w:t>Manual of Accounting</w:t>
            </w:r>
          </w:p>
        </w:tc>
      </w:tr>
      <w:tr w:rsidR="00B45FCC" w:rsidRPr="00651E8D" w:rsidTr="00F7024B">
        <w:trPr>
          <w:trHeight w:val="315"/>
        </w:trPr>
        <w:tc>
          <w:tcPr>
            <w:tcW w:w="1325" w:type="pct"/>
            <w:hideMark/>
          </w:tcPr>
          <w:p w:rsidR="00B45FCC" w:rsidRPr="00651E8D" w:rsidRDefault="00B45FCC" w:rsidP="00BF035C">
            <w:pPr>
              <w:pStyle w:val="ListParagraph"/>
            </w:pPr>
            <w:r>
              <w:rPr>
                <w:bCs/>
              </w:rPr>
              <w:t>Exhibit B</w:t>
            </w:r>
          </w:p>
        </w:tc>
        <w:tc>
          <w:tcPr>
            <w:tcW w:w="3675" w:type="pct"/>
            <w:hideMark/>
          </w:tcPr>
          <w:p w:rsidR="00B45FCC" w:rsidRPr="00651E8D" w:rsidRDefault="00B45FCC" w:rsidP="00BF035C">
            <w:pPr>
              <w:pStyle w:val="ListParagraph"/>
            </w:pPr>
            <w:r w:rsidRPr="00B45FCC">
              <w:t>Bail Calculation and Recalculation Process</w:t>
            </w:r>
          </w:p>
        </w:tc>
      </w:tr>
      <w:tr w:rsidR="00B45FCC" w:rsidRPr="00651E8D" w:rsidTr="00F7024B">
        <w:trPr>
          <w:trHeight w:val="315"/>
        </w:trPr>
        <w:tc>
          <w:tcPr>
            <w:tcW w:w="1325" w:type="pct"/>
            <w:hideMark/>
          </w:tcPr>
          <w:p w:rsidR="00B45FCC" w:rsidRPr="00651E8D" w:rsidRDefault="00B45FCC" w:rsidP="00BF035C">
            <w:pPr>
              <w:pStyle w:val="ListParagraph"/>
            </w:pPr>
            <w:r>
              <w:rPr>
                <w:bCs/>
              </w:rPr>
              <w:t>Exhibit C</w:t>
            </w:r>
          </w:p>
        </w:tc>
        <w:tc>
          <w:tcPr>
            <w:tcW w:w="3675" w:type="pct"/>
            <w:hideMark/>
          </w:tcPr>
          <w:p w:rsidR="00B45FCC" w:rsidRPr="00651E8D" w:rsidRDefault="00B45FCC" w:rsidP="00BF035C">
            <w:pPr>
              <w:pStyle w:val="ListParagraph"/>
            </w:pPr>
            <w:r w:rsidRPr="00B45FCC">
              <w:t>JBSIS Implementation Manual</w:t>
            </w:r>
          </w:p>
        </w:tc>
      </w:tr>
    </w:tbl>
    <w:p w:rsidR="00651E8D" w:rsidRDefault="00651E8D" w:rsidP="00A50B42">
      <w:pPr>
        <w:pStyle w:val="ListParagraph"/>
      </w:pPr>
    </w:p>
    <w:p w:rsidR="00327CD5" w:rsidRDefault="00B855CB" w:rsidP="00327CD5">
      <w:pPr>
        <w:keepNext/>
        <w:ind w:left="720" w:hanging="720"/>
        <w:rPr>
          <w:b/>
          <w:bCs/>
        </w:rPr>
      </w:pPr>
      <w:r>
        <w:rPr>
          <w:b/>
          <w:bCs/>
        </w:rPr>
        <w:t>6</w:t>
      </w:r>
      <w:r w:rsidR="00327CD5" w:rsidRPr="005E0EE1">
        <w:rPr>
          <w:b/>
          <w:bCs/>
        </w:rPr>
        <w:t>.0</w:t>
      </w:r>
      <w:r w:rsidR="00327CD5" w:rsidRPr="005E0EE1">
        <w:rPr>
          <w:b/>
          <w:bCs/>
        </w:rPr>
        <w:tab/>
      </w:r>
      <w:r w:rsidR="00327CD5">
        <w:rPr>
          <w:b/>
          <w:bCs/>
        </w:rPr>
        <w:t>PAYMENT INFORMATION</w:t>
      </w:r>
    </w:p>
    <w:p w:rsidR="00893499" w:rsidRDefault="00893499" w:rsidP="00327CD5">
      <w:pPr>
        <w:keepNext/>
        <w:ind w:left="720" w:hanging="720"/>
        <w:rPr>
          <w:b/>
          <w:bCs/>
        </w:rPr>
      </w:pPr>
    </w:p>
    <w:p w:rsidR="00327CD5" w:rsidRDefault="00893499" w:rsidP="00893499">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360"/>
        <w:contextualSpacing/>
        <w:rPr>
          <w:rFonts w:cs="Arial"/>
          <w:spacing w:val="-3"/>
        </w:rPr>
      </w:pPr>
      <w:r>
        <w:rPr>
          <w:color w:val="000000"/>
        </w:rPr>
        <w:t>6.1</w:t>
      </w:r>
      <w:r w:rsidR="00327CD5" w:rsidRPr="001A5470">
        <w:rPr>
          <w:rFonts w:cs="Arial"/>
          <w:i/>
          <w:color w:val="FF0000"/>
          <w:spacing w:val="-3"/>
        </w:rPr>
        <w:t xml:space="preserve"> </w:t>
      </w:r>
      <w:r w:rsidRPr="00893499">
        <w:rPr>
          <w:rFonts w:cs="Arial"/>
          <w:spacing w:val="-3"/>
        </w:rPr>
        <w:t>Milestone</w:t>
      </w:r>
      <w:r w:rsidR="00327CD5" w:rsidRPr="00893499">
        <w:rPr>
          <w:rFonts w:cs="Arial"/>
          <w:spacing w:val="-3"/>
        </w:rPr>
        <w:t xml:space="preserve"> payments </w:t>
      </w:r>
      <w:r w:rsidR="00DE5845">
        <w:rPr>
          <w:rFonts w:cs="Arial"/>
          <w:spacing w:val="-3"/>
        </w:rPr>
        <w:t>for services</w:t>
      </w:r>
      <w:r w:rsidR="001D3870">
        <w:rPr>
          <w:rFonts w:cs="Arial"/>
          <w:spacing w:val="-3"/>
        </w:rPr>
        <w:t>.</w:t>
      </w:r>
    </w:p>
    <w:p w:rsidR="00893499" w:rsidRDefault="00893499" w:rsidP="00893499">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360"/>
        <w:contextualSpacing/>
        <w:rPr>
          <w:rFonts w:cs="Arial"/>
          <w:spacing w:val="-3"/>
        </w:rPr>
      </w:pPr>
      <w:r w:rsidRPr="00F12FA1">
        <w:rPr>
          <w:color w:val="000000"/>
        </w:rPr>
        <w:t>6.2</w:t>
      </w:r>
      <w:r w:rsidRPr="00F12FA1">
        <w:rPr>
          <w:rFonts w:cs="Arial"/>
          <w:i/>
          <w:color w:val="FF0000"/>
          <w:spacing w:val="-3"/>
        </w:rPr>
        <w:t xml:space="preserve"> </w:t>
      </w:r>
      <w:r w:rsidR="00F12FA1" w:rsidRPr="00F12FA1">
        <w:rPr>
          <w:rFonts w:cs="Arial"/>
          <w:spacing w:val="-3"/>
        </w:rPr>
        <w:t xml:space="preserve">Retention of 10 % of the total cost of services </w:t>
      </w:r>
      <w:r w:rsidR="00BB3406">
        <w:rPr>
          <w:rFonts w:cs="Arial"/>
          <w:spacing w:val="-3"/>
        </w:rPr>
        <w:t>payable upon final acceptance and go-live.</w:t>
      </w:r>
    </w:p>
    <w:p w:rsidR="00DE5845" w:rsidRDefault="00F12FA1" w:rsidP="00893499">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360"/>
        <w:contextualSpacing/>
        <w:rPr>
          <w:rFonts w:cs="Arial"/>
          <w:spacing w:val="-3"/>
        </w:rPr>
      </w:pPr>
      <w:r>
        <w:rPr>
          <w:rFonts w:cs="Arial"/>
          <w:spacing w:val="-3"/>
        </w:rPr>
        <w:t>6.3</w:t>
      </w:r>
      <w:r w:rsidR="00DE5845">
        <w:rPr>
          <w:rFonts w:cs="Arial"/>
          <w:spacing w:val="-3"/>
        </w:rPr>
        <w:t xml:space="preserve"> Payment for vendor </w:t>
      </w:r>
      <w:r w:rsidR="00454E81">
        <w:rPr>
          <w:rFonts w:cs="Arial"/>
          <w:spacing w:val="-3"/>
        </w:rPr>
        <w:t xml:space="preserve">and third-party </w:t>
      </w:r>
      <w:r w:rsidR="00DE5845">
        <w:rPr>
          <w:rFonts w:cs="Arial"/>
          <w:spacing w:val="-3"/>
        </w:rPr>
        <w:t>software upon productive use.</w:t>
      </w:r>
    </w:p>
    <w:p w:rsidR="00F12FA1" w:rsidRDefault="00DE5845" w:rsidP="00893499">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360"/>
        <w:contextualSpacing/>
        <w:rPr>
          <w:rFonts w:cs="Arial"/>
          <w:spacing w:val="-3"/>
        </w:rPr>
      </w:pPr>
      <w:r>
        <w:rPr>
          <w:rFonts w:cs="Arial"/>
          <w:spacing w:val="-3"/>
        </w:rPr>
        <w:t>6.4 Reimbursable expenses will be allowed per exhibit XX of attachment 2</w:t>
      </w:r>
      <w:r w:rsidR="00491E17">
        <w:rPr>
          <w:rFonts w:cs="Arial"/>
          <w:spacing w:val="-3"/>
        </w:rPr>
        <w:t>.</w:t>
      </w:r>
      <w:r w:rsidR="00F12FA1">
        <w:rPr>
          <w:rFonts w:cs="Arial"/>
          <w:spacing w:val="-3"/>
        </w:rPr>
        <w:t xml:space="preserve"> </w:t>
      </w:r>
    </w:p>
    <w:p w:rsidR="00173CFE" w:rsidRDefault="00173CFE" w:rsidP="002C64BD">
      <w:pPr>
        <w:keepNext/>
        <w:ind w:left="720" w:hanging="720"/>
        <w:rPr>
          <w:b/>
          <w:bCs/>
        </w:rPr>
      </w:pPr>
    </w:p>
    <w:p w:rsidR="002C64BD" w:rsidRDefault="00E11AF9"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E11AF9" w:rsidP="00F53BCD">
      <w:pPr>
        <w:ind w:left="720" w:right="468" w:hanging="360"/>
        <w:rPr>
          <w:color w:val="000000"/>
        </w:rPr>
      </w:pPr>
      <w:r>
        <w:rPr>
          <w:color w:val="000000"/>
        </w:rPr>
        <w:t>7</w:t>
      </w:r>
      <w:r w:rsidR="002C64BD">
        <w:rPr>
          <w:color w:val="000000"/>
        </w:rPr>
        <w:t>.1</w:t>
      </w:r>
      <w:r w:rsidR="002C64BD">
        <w:rPr>
          <w:color w:val="000000"/>
        </w:rPr>
        <w:tab/>
      </w:r>
      <w:r w:rsidR="007B422C">
        <w:rPr>
          <w:lang w:bidi="en-US"/>
        </w:rPr>
        <w:t>Vendors should respond to each and ev</w:t>
      </w:r>
      <w:r w:rsidR="008E3099">
        <w:rPr>
          <w:lang w:bidi="en-US"/>
        </w:rPr>
        <w:t xml:space="preserve">ery section of this RFP and all </w:t>
      </w:r>
      <w:r w:rsidR="007B422C">
        <w:rPr>
          <w:lang w:bidi="en-US"/>
        </w:rPr>
        <w:t>attachments and sub</w:t>
      </w:r>
      <w:r w:rsidR="00461C14">
        <w:rPr>
          <w:lang w:bidi="en-US"/>
        </w:rPr>
        <w:t>-</w:t>
      </w:r>
      <w:r w:rsidR="007B422C">
        <w:rPr>
          <w:lang w:bidi="en-US"/>
        </w:rPr>
        <w:t>exhibits. An RFP response template has been included</w:t>
      </w:r>
      <w:r w:rsidR="00E7284F">
        <w:rPr>
          <w:lang w:bidi="en-US"/>
        </w:rPr>
        <w:t xml:space="preserve"> (</w:t>
      </w:r>
      <w:r w:rsidR="00A73A8B">
        <w:rPr>
          <w:i/>
          <w:sz w:val="20"/>
          <w:szCs w:val="20"/>
          <w:lang w:bidi="en-US"/>
        </w:rPr>
        <w:t>Attachment 17</w:t>
      </w:r>
      <w:r w:rsidR="00E7284F" w:rsidRPr="009045C0">
        <w:rPr>
          <w:i/>
          <w:sz w:val="20"/>
        </w:rPr>
        <w:t>)</w:t>
      </w:r>
      <w:r w:rsidR="007B422C">
        <w:rPr>
          <w:lang w:bidi="en-US"/>
        </w:rPr>
        <w:t xml:space="preserve"> for standardization of responses. </w:t>
      </w:r>
      <w:r w:rsidR="002C64BD">
        <w:rPr>
          <w:color w:val="000000"/>
        </w:rPr>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F53BCD">
      <w:pPr>
        <w:ind w:left="720" w:hanging="360"/>
        <w:rPr>
          <w:color w:val="000000"/>
          <w:sz w:val="20"/>
          <w:szCs w:val="20"/>
        </w:rPr>
      </w:pPr>
    </w:p>
    <w:p w:rsidR="006D02BE" w:rsidRDefault="00E11AF9" w:rsidP="00F53BCD">
      <w:pPr>
        <w:ind w:left="720" w:right="468" w:hanging="36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 xml:space="preserve">non-cost portion </w:t>
      </w:r>
      <w:r w:rsidR="0072371D">
        <w:t>(</w:t>
      </w:r>
      <w:r w:rsidR="0072371D" w:rsidRPr="009045C0">
        <w:rPr>
          <w:i/>
          <w:sz w:val="20"/>
          <w:szCs w:val="20"/>
        </w:rPr>
        <w:t>Attachment</w:t>
      </w:r>
      <w:r w:rsidR="006A36A9">
        <w:rPr>
          <w:i/>
          <w:sz w:val="20"/>
          <w:szCs w:val="20"/>
        </w:rPr>
        <w:t>s 2, 3, 4, 5, 6 &amp;</w:t>
      </w:r>
      <w:r w:rsidR="0072371D" w:rsidRPr="009045C0">
        <w:rPr>
          <w:i/>
          <w:sz w:val="20"/>
          <w:szCs w:val="20"/>
        </w:rPr>
        <w:t xml:space="preserve"> 1</w:t>
      </w:r>
      <w:r w:rsidR="00A73A8B">
        <w:rPr>
          <w:i/>
          <w:sz w:val="20"/>
          <w:szCs w:val="20"/>
        </w:rPr>
        <w:t>7</w:t>
      </w:r>
      <w:r w:rsidR="0072371D">
        <w:t xml:space="preserve">) </w:t>
      </w:r>
      <w:r w:rsidR="004960BA">
        <w:t>and the cost portion</w:t>
      </w:r>
      <w:r w:rsidR="0072371D">
        <w:t xml:space="preserve"> (</w:t>
      </w:r>
      <w:r w:rsidR="0072371D" w:rsidRPr="009045C0">
        <w:rPr>
          <w:i/>
          <w:sz w:val="20"/>
          <w:szCs w:val="20"/>
        </w:rPr>
        <w:t>Attachment 1</w:t>
      </w:r>
      <w:r w:rsidR="00A73A8B">
        <w:rPr>
          <w:i/>
          <w:sz w:val="20"/>
          <w:szCs w:val="20"/>
        </w:rPr>
        <w:t>6</w:t>
      </w:r>
      <w:r w:rsidR="0072371D" w:rsidRPr="009045C0">
        <w:rPr>
          <w:sz w:val="20"/>
          <w:szCs w:val="20"/>
        </w:rPr>
        <w:t>)</w:t>
      </w:r>
      <w:r w:rsidR="006D02BE" w:rsidRPr="009045C0">
        <w:rPr>
          <w:sz w:val="20"/>
          <w:szCs w:val="20"/>
        </w:rPr>
        <w:t>.</w:t>
      </w:r>
      <w:r w:rsidR="006D02BE">
        <w:t xml:space="preserve">  </w:t>
      </w:r>
    </w:p>
    <w:p w:rsidR="006D02BE" w:rsidRDefault="006D02BE" w:rsidP="00F53BCD">
      <w:pPr>
        <w:ind w:left="720" w:right="468" w:hanging="360"/>
      </w:pPr>
    </w:p>
    <w:p w:rsidR="006D02BE" w:rsidRDefault="007017D2" w:rsidP="0072371D">
      <w:pPr>
        <w:tabs>
          <w:tab w:val="left" w:pos="810"/>
        </w:tabs>
        <w:ind w:left="720" w:right="468"/>
        <w:rPr>
          <w:color w:val="000000"/>
        </w:rPr>
      </w:pPr>
      <w:r>
        <w:t>A</w:t>
      </w:r>
      <w:r w:rsidR="006D02BE">
        <w:t>.</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810DCC">
        <w:rPr>
          <w:b/>
          <w:color w:val="000000"/>
        </w:rPr>
        <w:t>6</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w:t>
      </w:r>
      <w:r w:rsidR="0072371D">
        <w:rPr>
          <w:color w:val="000000"/>
        </w:rPr>
        <w:t>(</w:t>
      </w:r>
      <w:r w:rsidR="0072371D" w:rsidRPr="009045C0">
        <w:rPr>
          <w:i/>
          <w:color w:val="000000"/>
          <w:sz w:val="20"/>
          <w:szCs w:val="20"/>
        </w:rPr>
        <w:t>Attachment</w:t>
      </w:r>
      <w:r w:rsidR="006A36A9">
        <w:rPr>
          <w:i/>
          <w:color w:val="000000"/>
          <w:sz w:val="20"/>
          <w:szCs w:val="20"/>
        </w:rPr>
        <w:t xml:space="preserve"> </w:t>
      </w:r>
      <w:r w:rsidR="006A36A9">
        <w:rPr>
          <w:i/>
          <w:sz w:val="20"/>
          <w:szCs w:val="20"/>
        </w:rPr>
        <w:t xml:space="preserve">2, 3, 4, 5, 6 </w:t>
      </w:r>
      <w:r w:rsidR="006A36A9">
        <w:rPr>
          <w:i/>
          <w:color w:val="000000"/>
          <w:sz w:val="20"/>
          <w:szCs w:val="20"/>
        </w:rPr>
        <w:t>&amp;</w:t>
      </w:r>
      <w:r w:rsidR="0072371D" w:rsidRPr="009045C0">
        <w:rPr>
          <w:i/>
          <w:color w:val="000000"/>
          <w:sz w:val="20"/>
          <w:szCs w:val="20"/>
        </w:rPr>
        <w:t>1</w:t>
      </w:r>
      <w:r w:rsidR="00A73A8B">
        <w:rPr>
          <w:i/>
          <w:color w:val="000000"/>
          <w:sz w:val="20"/>
          <w:szCs w:val="20"/>
        </w:rPr>
        <w:t>7</w:t>
      </w:r>
      <w:r w:rsidR="0072371D">
        <w:rPr>
          <w:color w:val="000000"/>
        </w:rPr>
        <w:t>)</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7C41DF" w:rsidRPr="007C41DF">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72371D">
      <w:pPr>
        <w:tabs>
          <w:tab w:val="left" w:pos="810"/>
        </w:tabs>
        <w:ind w:left="720" w:right="468"/>
        <w:rPr>
          <w:color w:val="000000"/>
        </w:rPr>
      </w:pPr>
    </w:p>
    <w:p w:rsidR="002C64BD" w:rsidRDefault="007017D2" w:rsidP="0092377C">
      <w:pPr>
        <w:tabs>
          <w:tab w:val="left" w:pos="810"/>
          <w:tab w:val="left" w:pos="1440"/>
        </w:tabs>
        <w:ind w:left="720" w:right="468"/>
        <w:rPr>
          <w:color w:val="000000"/>
        </w:rPr>
      </w:pPr>
      <w:r>
        <w:t>B</w:t>
      </w:r>
      <w:r w:rsidR="006D02BE">
        <w:t>.</w:t>
      </w:r>
      <w:r w:rsidR="006D02BE">
        <w:tab/>
        <w:t xml:space="preserve">The </w:t>
      </w:r>
      <w:r w:rsidR="006D02BE">
        <w:rPr>
          <w:color w:val="000000"/>
        </w:rPr>
        <w:t>Proposer</w:t>
      </w:r>
      <w:r w:rsidR="006D02BE" w:rsidRPr="005E0EE1">
        <w:rPr>
          <w:color w:val="000000"/>
        </w:rPr>
        <w:t xml:space="preserve"> </w:t>
      </w:r>
      <w:r w:rsidR="006D02BE">
        <w:rPr>
          <w:color w:val="000000"/>
        </w:rPr>
        <w:t>must</w:t>
      </w:r>
      <w:r w:rsidR="006D02BE" w:rsidRPr="005E0EE1">
        <w:rPr>
          <w:color w:val="000000"/>
        </w:rPr>
        <w:t xml:space="preserve"> submit</w:t>
      </w:r>
      <w:r w:rsidR="006D02BE" w:rsidRPr="00294372">
        <w:rPr>
          <w:color w:val="000000"/>
        </w:rPr>
        <w:t xml:space="preserve"> </w:t>
      </w:r>
      <w:r w:rsidR="006D02BE" w:rsidRPr="00294372">
        <w:rPr>
          <w:b/>
          <w:color w:val="000000"/>
        </w:rPr>
        <w:t xml:space="preserve">one (1) original </w:t>
      </w:r>
      <w:r w:rsidR="00810DCC">
        <w:rPr>
          <w:b/>
          <w:color w:val="000000"/>
        </w:rPr>
        <w:t>2</w:t>
      </w:r>
      <w:r w:rsidR="006D02BE" w:rsidRPr="00294372">
        <w:rPr>
          <w:b/>
          <w:color w:val="000000"/>
        </w:rPr>
        <w:t xml:space="preserve"> copies</w:t>
      </w:r>
      <w:r w:rsidR="006D02BE" w:rsidRPr="005E0EE1">
        <w:rPr>
          <w:color w:val="000000"/>
        </w:rPr>
        <w:t xml:space="preserve"> of the </w:t>
      </w:r>
      <w:r w:rsidR="006D02BE">
        <w:rPr>
          <w:color w:val="000000"/>
        </w:rPr>
        <w:t xml:space="preserve">cost </w:t>
      </w:r>
      <w:r w:rsidR="004960BA">
        <w:rPr>
          <w:color w:val="000000"/>
        </w:rPr>
        <w:t>portion</w:t>
      </w:r>
      <w:r w:rsidR="0022207C">
        <w:rPr>
          <w:color w:val="000000"/>
        </w:rPr>
        <w:t xml:space="preserve"> </w:t>
      </w:r>
      <w:r w:rsidR="0072371D">
        <w:rPr>
          <w:color w:val="000000"/>
        </w:rPr>
        <w:t>(</w:t>
      </w:r>
      <w:r w:rsidR="0072371D" w:rsidRPr="009045C0">
        <w:rPr>
          <w:i/>
          <w:color w:val="000000"/>
          <w:sz w:val="20"/>
          <w:szCs w:val="20"/>
        </w:rPr>
        <w:t>Attachment 1</w:t>
      </w:r>
      <w:r w:rsidR="00A73A8B">
        <w:rPr>
          <w:i/>
          <w:color w:val="000000"/>
          <w:sz w:val="20"/>
          <w:szCs w:val="20"/>
        </w:rPr>
        <w:t>6</w:t>
      </w:r>
      <w:r w:rsidR="0072371D">
        <w:rPr>
          <w:i/>
          <w:color w:val="000000"/>
        </w:rPr>
        <w:t xml:space="preserve">) </w:t>
      </w:r>
      <w:r w:rsidR="0022207C">
        <w:rPr>
          <w:color w:val="000000"/>
        </w:rPr>
        <w:t>of the proposal</w:t>
      </w:r>
      <w:r w:rsidR="00626B27">
        <w:rPr>
          <w:color w:val="000000"/>
        </w:rPr>
        <w:t>. The original must be</w:t>
      </w:r>
      <w:r w:rsidR="006D02BE" w:rsidRPr="005E0EE1">
        <w:rPr>
          <w:color w:val="000000"/>
        </w:rPr>
        <w:t xml:space="preserve"> signed by an authorized representative of the </w:t>
      </w:r>
      <w:r w:rsidR="006D02BE">
        <w:rPr>
          <w:color w:val="000000"/>
        </w:rPr>
        <w:t>Proposer</w:t>
      </w:r>
      <w:r w:rsidR="006D02BE" w:rsidRPr="005E0EE1">
        <w:rPr>
          <w:color w:val="000000"/>
        </w:rPr>
        <w:t>.</w:t>
      </w:r>
      <w:r w:rsidR="0022207C">
        <w:rPr>
          <w:color w:val="000000"/>
        </w:rPr>
        <w:t xml:space="preserve"> The original cost portion</w:t>
      </w:r>
      <w:r w:rsidR="006D02BE">
        <w:rPr>
          <w:color w:val="000000"/>
        </w:rPr>
        <w:t xml:space="preserve"> (and the copies thereof) must be submitted to the </w:t>
      </w:r>
      <w:r w:rsidR="008B50E8">
        <w:rPr>
          <w:color w:val="000000"/>
        </w:rPr>
        <w:t>Court</w:t>
      </w:r>
      <w:r w:rsidR="006D02BE">
        <w:rPr>
          <w:color w:val="000000"/>
        </w:rPr>
        <w:t xml:space="preserve"> in a single sealed envelope, separate from the </w:t>
      </w:r>
      <w:r w:rsidR="004960BA">
        <w:rPr>
          <w:color w:val="000000"/>
        </w:rPr>
        <w:t>non-cost portion</w:t>
      </w:r>
      <w:r w:rsidR="006D02BE">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72371D">
      <w:pPr>
        <w:tabs>
          <w:tab w:val="left" w:pos="810"/>
        </w:tabs>
        <w:ind w:left="720" w:right="468"/>
        <w:rPr>
          <w:color w:val="000000"/>
        </w:rPr>
      </w:pPr>
    </w:p>
    <w:p w:rsidR="000D5FD6" w:rsidRDefault="007017D2" w:rsidP="0072371D">
      <w:pPr>
        <w:tabs>
          <w:tab w:val="left" w:pos="810"/>
        </w:tabs>
        <w:ind w:left="720" w:right="468"/>
      </w:pPr>
      <w:r>
        <w:rPr>
          <w:color w:val="000000"/>
        </w:rPr>
        <w:t>C</w:t>
      </w:r>
      <w:r w:rsidR="000D5FD6">
        <w:rPr>
          <w:color w:val="000000"/>
        </w:rPr>
        <w:t>.</w:t>
      </w:r>
      <w:r w:rsidR="00F709C0">
        <w:rPr>
          <w:color w:val="000000"/>
        </w:rPr>
        <w:t xml:space="preserve"> </w:t>
      </w:r>
      <w:r w:rsidR="0092377C">
        <w:rPr>
          <w:color w:val="000000"/>
        </w:rPr>
        <w:tab/>
      </w:r>
      <w:r w:rsidR="00C041EE">
        <w:rPr>
          <w:color w:val="000000"/>
        </w:rPr>
        <w:t>T</w:t>
      </w:r>
      <w:r w:rsidR="000D5FD6">
        <w:rPr>
          <w:color w:val="000000"/>
        </w:rPr>
        <w:t xml:space="preserve">he Proposer must submit </w:t>
      </w:r>
      <w:r w:rsidR="000D5FD6" w:rsidRPr="005E0EE1">
        <w:rPr>
          <w:color w:val="000000"/>
        </w:rPr>
        <w:t xml:space="preserve">an electronic version of the entire proposal on </w:t>
      </w:r>
      <w:r w:rsidR="000D5FD6" w:rsidRPr="00091B52">
        <w:rPr>
          <w:color w:val="000000"/>
        </w:rPr>
        <w:t>CD-ROM</w:t>
      </w:r>
      <w:r w:rsidR="000D5FD6" w:rsidRPr="005E0EE1">
        <w:rPr>
          <w:color w:val="000000"/>
        </w:rPr>
        <w:t>.</w:t>
      </w:r>
      <w:r w:rsidR="00C041EE">
        <w:rPr>
          <w:color w:val="000000"/>
        </w:rPr>
        <w:t xml:space="preserve"> The files contained on the CD-ROM </w:t>
      </w:r>
      <w:r w:rsidR="002A6AA7">
        <w:rPr>
          <w:color w:val="000000"/>
        </w:rPr>
        <w:t>must</w:t>
      </w:r>
      <w:r w:rsidR="00C041EE">
        <w:rPr>
          <w:color w:val="000000"/>
        </w:rPr>
        <w:t xml:space="preserve"> be in PDF, Word, or Excel formats.</w:t>
      </w:r>
    </w:p>
    <w:p w:rsidR="002C64BD" w:rsidRPr="00E46BDC" w:rsidRDefault="006D02BE" w:rsidP="00F53BCD">
      <w:pPr>
        <w:ind w:left="720" w:right="468" w:hanging="360"/>
        <w:rPr>
          <w:color w:val="000000"/>
          <w:sz w:val="20"/>
          <w:szCs w:val="20"/>
        </w:rPr>
      </w:pPr>
      <w:r>
        <w:rPr>
          <w:color w:val="000000"/>
        </w:rPr>
        <w:tab/>
      </w:r>
    </w:p>
    <w:p w:rsidR="00106A01" w:rsidRDefault="00E11AF9">
      <w:pPr>
        <w:ind w:left="720" w:right="468" w:hanging="36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r w:rsidR="00D3427A">
        <w:rPr>
          <w:color w:val="000000"/>
        </w:rPr>
        <w:t xml:space="preserve"> </w:t>
      </w:r>
      <w:r w:rsidR="00893499">
        <w:rPr>
          <w:color w:val="000000"/>
        </w:rPr>
        <w:tab/>
      </w:r>
    </w:p>
    <w:p w:rsidR="00B63C7B" w:rsidRPr="00B63C7B" w:rsidRDefault="00B63C7B" w:rsidP="00B63C7B">
      <w:pPr>
        <w:ind w:left="1440" w:right="468"/>
      </w:pPr>
      <w:r w:rsidRPr="00B63C7B">
        <w:t>Administrative Office of the Courts</w:t>
      </w:r>
    </w:p>
    <w:p w:rsidR="00106A01" w:rsidRDefault="00A7178B">
      <w:pPr>
        <w:pStyle w:val="CommentText"/>
        <w:tabs>
          <w:tab w:val="left" w:pos="1242"/>
        </w:tabs>
        <w:ind w:left="1440" w:right="252"/>
        <w:rPr>
          <w:color w:val="000000"/>
          <w:sz w:val="24"/>
          <w:szCs w:val="24"/>
        </w:rPr>
      </w:pPr>
      <w:r w:rsidRPr="00A7178B">
        <w:rPr>
          <w:sz w:val="24"/>
          <w:szCs w:val="24"/>
        </w:rPr>
        <w:t xml:space="preserve">Attn: Nadine McFadden, </w:t>
      </w:r>
      <w:r w:rsidRPr="00C221A1">
        <w:rPr>
          <w:color w:val="000000" w:themeColor="text1"/>
          <w:sz w:val="24"/>
          <w:szCs w:val="24"/>
          <w:u w:val="single"/>
        </w:rPr>
        <w:t>RFP #</w:t>
      </w:r>
      <w:r w:rsidRPr="00C221A1">
        <w:rPr>
          <w:i/>
          <w:color w:val="000000" w:themeColor="text1"/>
          <w:sz w:val="24"/>
          <w:szCs w:val="24"/>
          <w:u w:val="single"/>
        </w:rPr>
        <w:t xml:space="preserve"> ISD – 06192012 - SLO</w:t>
      </w:r>
    </w:p>
    <w:p w:rsidR="00B63C7B" w:rsidRPr="00B63C7B" w:rsidRDefault="00B63C7B" w:rsidP="00B63C7B">
      <w:pPr>
        <w:ind w:left="1440" w:right="468"/>
      </w:pPr>
      <w:r w:rsidRPr="00B63C7B">
        <w:t>455 Golden Gate Avenue</w:t>
      </w:r>
    </w:p>
    <w:p w:rsidR="00B63C7B" w:rsidRPr="00B63C7B" w:rsidRDefault="00A7178B" w:rsidP="00B63C7B">
      <w:pPr>
        <w:ind w:left="1440" w:right="468"/>
      </w:pPr>
      <w:r w:rsidRPr="00A7178B">
        <w:t>San Francisco, CA  94102-3688</w:t>
      </w:r>
    </w:p>
    <w:p w:rsidR="002C3530" w:rsidRDefault="002C3530" w:rsidP="00893499">
      <w:pPr>
        <w:ind w:left="720" w:right="468" w:hanging="360"/>
        <w:rPr>
          <w:color w:val="000000"/>
        </w:rPr>
      </w:pPr>
    </w:p>
    <w:p w:rsidR="002C64BD" w:rsidRPr="00E46BDC" w:rsidRDefault="002C64BD" w:rsidP="00F53BCD">
      <w:pPr>
        <w:ind w:left="720" w:hanging="360"/>
        <w:rPr>
          <w:color w:val="000000"/>
          <w:sz w:val="20"/>
          <w:szCs w:val="20"/>
        </w:rPr>
      </w:pPr>
    </w:p>
    <w:p w:rsidR="001E612A" w:rsidRDefault="00E11AF9" w:rsidP="00F53BCD">
      <w:pPr>
        <w:pStyle w:val="BodyTextIndent"/>
        <w:spacing w:after="0"/>
        <w:ind w:left="720" w:right="460" w:hanging="36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F53BCD">
      <w:pPr>
        <w:pStyle w:val="BodyTextIndent"/>
        <w:spacing w:after="0"/>
        <w:ind w:left="720" w:right="460" w:hanging="360"/>
        <w:rPr>
          <w:color w:val="000000"/>
        </w:rPr>
      </w:pPr>
    </w:p>
    <w:p w:rsidR="00746AC7" w:rsidRPr="00746AC7" w:rsidRDefault="00E11AF9" w:rsidP="00F53BCD">
      <w:pPr>
        <w:pStyle w:val="BodyTextIndent"/>
        <w:spacing w:after="0"/>
        <w:ind w:left="720" w:right="460" w:hanging="360"/>
        <w:rPr>
          <w:color w:val="000000" w:themeColor="text1"/>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w:t>
      </w:r>
      <w:r w:rsidR="00591BFA">
        <w:rPr>
          <w:color w:val="000000"/>
        </w:rPr>
        <w:t>,</w:t>
      </w:r>
      <w:r w:rsidR="007A0851">
        <w:rPr>
          <w:color w:val="000000"/>
        </w:rPr>
        <w:t xml:space="preserve">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E11AF9"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3B268E" w:rsidRDefault="00E11AF9" w:rsidP="00380CE5">
      <w:pPr>
        <w:pStyle w:val="BodyTextIndent2"/>
        <w:keepNext/>
        <w:spacing w:after="0" w:line="240" w:lineRule="auto"/>
        <w:ind w:left="720" w:hanging="36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72371D">
        <w:rPr>
          <w:color w:val="000000" w:themeColor="text1"/>
        </w:rPr>
        <w:t xml:space="preserve"> </w:t>
      </w:r>
      <w:r w:rsidR="00DF51BD">
        <w:rPr>
          <w:color w:val="000000"/>
        </w:rPr>
        <w:t>(</w:t>
      </w:r>
      <w:r w:rsidR="00DF51BD" w:rsidRPr="009045C0">
        <w:rPr>
          <w:i/>
          <w:color w:val="000000"/>
          <w:sz w:val="20"/>
          <w:szCs w:val="20"/>
        </w:rPr>
        <w:t>Attachment</w:t>
      </w:r>
      <w:r w:rsidR="00DF51BD">
        <w:rPr>
          <w:i/>
          <w:color w:val="000000"/>
          <w:sz w:val="20"/>
          <w:szCs w:val="20"/>
        </w:rPr>
        <w:t xml:space="preserve"> </w:t>
      </w:r>
      <w:r w:rsidR="00DF51BD">
        <w:rPr>
          <w:i/>
          <w:sz w:val="20"/>
          <w:szCs w:val="20"/>
        </w:rPr>
        <w:t xml:space="preserve">2, 3, 4, 5, 6 </w:t>
      </w:r>
      <w:r w:rsidR="00DF51BD">
        <w:rPr>
          <w:i/>
          <w:color w:val="000000"/>
          <w:sz w:val="20"/>
          <w:szCs w:val="20"/>
        </w:rPr>
        <w:t>&amp;</w:t>
      </w:r>
      <w:r w:rsidR="00DF51BD" w:rsidRPr="009045C0">
        <w:rPr>
          <w:i/>
          <w:color w:val="000000"/>
          <w:sz w:val="20"/>
          <w:szCs w:val="20"/>
        </w:rPr>
        <w:t>1</w:t>
      </w:r>
      <w:r w:rsidR="00DF51BD">
        <w:rPr>
          <w:i/>
          <w:color w:val="000000"/>
          <w:sz w:val="20"/>
          <w:szCs w:val="20"/>
        </w:rPr>
        <w:t>7</w:t>
      </w:r>
      <w:r w:rsidR="00DF51BD">
        <w:rPr>
          <w:color w:val="000000"/>
        </w:rPr>
        <w:t>)</w:t>
      </w:r>
      <w:r w:rsidR="00893C52" w:rsidRPr="003B268E">
        <w:rPr>
          <w:color w:val="000000" w:themeColor="text1"/>
        </w:rPr>
        <w:t>.</w:t>
      </w:r>
      <w:r w:rsidR="00FF1876" w:rsidRPr="003B268E">
        <w:rPr>
          <w:color w:val="000000" w:themeColor="text1"/>
        </w:rPr>
        <w:t xml:space="preserve"> A proposal lacking any of the following information may be deemed non-responsive.  </w:t>
      </w:r>
    </w:p>
    <w:p w:rsidR="00595822" w:rsidRDefault="00595822" w:rsidP="00F53BCD">
      <w:pPr>
        <w:keepNext/>
        <w:ind w:left="360"/>
      </w:pPr>
    </w:p>
    <w:p w:rsidR="00595822" w:rsidRDefault="00022897" w:rsidP="00022897">
      <w:pPr>
        <w:ind w:left="720"/>
      </w:pPr>
      <w:r>
        <w:t>A</w:t>
      </w:r>
      <w:r w:rsidR="00893C52">
        <w:t>.</w:t>
      </w:r>
      <w:r w:rsidR="00595822">
        <w:tab/>
      </w:r>
      <w:r w:rsidR="00893C52">
        <w:t>Proposer’s n</w:t>
      </w:r>
      <w:r w:rsidR="00595822">
        <w:t xml:space="preserve">ame, address, telephone and fax numbers, and federal tax </w:t>
      </w:r>
      <w:r w:rsidR="00965215">
        <w:tab/>
      </w:r>
      <w:r w:rsidR="00595822">
        <w:t xml:space="preserve">identification number. </w:t>
      </w:r>
      <w:r w:rsidR="00893C52" w:rsidRPr="0046465F">
        <w:rPr>
          <w:color w:val="000000" w:themeColor="text1"/>
        </w:rPr>
        <w:t>No</w:t>
      </w:r>
      <w:r w:rsidR="00893C52">
        <w:rPr>
          <w:color w:val="000000" w:themeColor="text1"/>
        </w:rPr>
        <w:t>te that if Proposer is a sole proprietor using his or her</w:t>
      </w:r>
      <w:r w:rsidR="00893C52" w:rsidRPr="0046465F">
        <w:rPr>
          <w:color w:val="000000" w:themeColor="text1"/>
        </w:rPr>
        <w:t xml:space="preserve"> </w:t>
      </w:r>
      <w:r w:rsidR="00965215">
        <w:rPr>
          <w:color w:val="000000" w:themeColor="text1"/>
        </w:rPr>
        <w:tab/>
      </w:r>
      <w:r w:rsidR="00893C52" w:rsidRPr="0046465F">
        <w:rPr>
          <w:color w:val="000000" w:themeColor="text1"/>
        </w:rPr>
        <w:t>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w:t>
      </w:r>
      <w:r w:rsidR="00965215">
        <w:rPr>
          <w:color w:val="000000" w:themeColor="text1"/>
        </w:rPr>
        <w:tab/>
      </w:r>
      <w:r w:rsidR="00893C52" w:rsidRPr="0046465F">
        <w:rPr>
          <w:color w:val="000000" w:themeColor="text1"/>
        </w:rPr>
        <w:t>finalizing a contract.</w:t>
      </w:r>
      <w:r w:rsidR="00893C52">
        <w:rPr>
          <w:color w:val="000000" w:themeColor="text1"/>
        </w:rPr>
        <w:t xml:space="preserve">  </w:t>
      </w:r>
    </w:p>
    <w:p w:rsidR="00893C52" w:rsidRDefault="00893C52" w:rsidP="00022897">
      <w:pPr>
        <w:ind w:left="720"/>
      </w:pPr>
    </w:p>
    <w:p w:rsidR="00C041EE" w:rsidRDefault="00022897" w:rsidP="00022897">
      <w:pPr>
        <w:ind w:left="720" w:right="468"/>
        <w:rPr>
          <w:color w:val="000000"/>
        </w:rPr>
      </w:pPr>
      <w:r>
        <w:rPr>
          <w:color w:val="000000"/>
        </w:rPr>
        <w:t>B</w:t>
      </w:r>
      <w:r w:rsidR="00893C52">
        <w:rPr>
          <w:color w:val="000000"/>
        </w:rPr>
        <w:t>.</w:t>
      </w:r>
      <w:r w:rsidR="00893C52">
        <w:rPr>
          <w:color w:val="000000"/>
        </w:rPr>
        <w:tab/>
        <w:t>N</w:t>
      </w:r>
      <w:r w:rsidR="00C041EE" w:rsidRPr="005E0EE1">
        <w:rPr>
          <w:color w:val="000000"/>
        </w:rPr>
        <w:t>ame, title, address, telephone number</w:t>
      </w:r>
      <w:r w:rsidR="00893C52">
        <w:rPr>
          <w:color w:val="000000"/>
        </w:rPr>
        <w:t>, and email address</w:t>
      </w:r>
      <w:r w:rsidR="00C041EE" w:rsidRPr="005E0EE1">
        <w:rPr>
          <w:color w:val="000000"/>
        </w:rPr>
        <w:t xml:space="preserve"> of </w:t>
      </w:r>
      <w:r w:rsidR="00893C52">
        <w:rPr>
          <w:color w:val="000000"/>
        </w:rPr>
        <w:t>the</w:t>
      </w:r>
      <w:r w:rsidR="00C041EE" w:rsidRPr="005E0EE1">
        <w:rPr>
          <w:color w:val="000000"/>
        </w:rPr>
        <w:t xml:space="preserve"> individual </w:t>
      </w:r>
      <w:r w:rsidR="00965215">
        <w:rPr>
          <w:color w:val="000000"/>
        </w:rPr>
        <w:tab/>
      </w:r>
      <w:r w:rsidR="00C041EE" w:rsidRPr="005E0EE1">
        <w:rPr>
          <w:color w:val="000000"/>
        </w:rPr>
        <w:t xml:space="preserve">who </w:t>
      </w:r>
      <w:r w:rsidR="00893C52">
        <w:rPr>
          <w:color w:val="000000"/>
        </w:rPr>
        <w:t>will act as P</w:t>
      </w:r>
      <w:r w:rsidR="00C041EE">
        <w:rPr>
          <w:color w:val="000000"/>
        </w:rPr>
        <w:t xml:space="preserve">roposer’s </w:t>
      </w:r>
      <w:r w:rsidR="00C041EE" w:rsidRPr="005E0EE1">
        <w:rPr>
          <w:color w:val="000000"/>
        </w:rPr>
        <w:t>designated representative</w:t>
      </w:r>
      <w:r w:rsidR="00893C52">
        <w:rPr>
          <w:color w:val="000000"/>
        </w:rPr>
        <w:t xml:space="preserve"> for purposes of this </w:t>
      </w:r>
      <w:r w:rsidR="00965215">
        <w:rPr>
          <w:color w:val="000000"/>
        </w:rPr>
        <w:tab/>
      </w:r>
      <w:r w:rsidR="00893C52">
        <w:rPr>
          <w:color w:val="000000"/>
        </w:rPr>
        <w:t>RFP</w:t>
      </w:r>
      <w:r w:rsidR="00C041EE" w:rsidRPr="005E0EE1">
        <w:rPr>
          <w:color w:val="000000"/>
        </w:rPr>
        <w:t xml:space="preserve">.  </w:t>
      </w:r>
    </w:p>
    <w:p w:rsidR="000518CD" w:rsidRDefault="000518CD" w:rsidP="00022897">
      <w:pPr>
        <w:ind w:left="720"/>
        <w:rPr>
          <w:color w:val="000000"/>
        </w:rPr>
      </w:pPr>
    </w:p>
    <w:p w:rsidR="000518CD" w:rsidRDefault="009E0D35" w:rsidP="00022897">
      <w:pPr>
        <w:ind w:left="720"/>
      </w:pPr>
      <w:r>
        <w:t>C</w:t>
      </w:r>
      <w:r w:rsidR="00020DD8">
        <w:t>.</w:t>
      </w:r>
      <w:r w:rsidR="00F709C0">
        <w:tab/>
      </w:r>
      <w:r w:rsidR="000518CD">
        <w:t xml:space="preserve">Names, addresses, and telephone numbers of a minimum of </w:t>
      </w:r>
      <w:r w:rsidR="00F709C0" w:rsidRPr="002A6AA7">
        <w:t xml:space="preserve">3 </w:t>
      </w:r>
      <w:r w:rsidR="000518CD">
        <w:t xml:space="preserve">clients for whom </w:t>
      </w:r>
      <w:r w:rsidR="00965215">
        <w:tab/>
      </w:r>
      <w:r w:rsidR="000518CD">
        <w:t xml:space="preserve">the </w:t>
      </w:r>
      <w:r w:rsidR="00D92EF1">
        <w:t>Proposer</w:t>
      </w:r>
      <w:r w:rsidR="000518CD">
        <w:t xml:space="preserve"> has provided similar goods. The Court may check references listed </w:t>
      </w:r>
      <w:r w:rsidR="00965215">
        <w:tab/>
      </w:r>
      <w:r w:rsidR="000518CD">
        <w:t xml:space="preserve">by </w:t>
      </w:r>
      <w:r w:rsidR="00D92EF1">
        <w:t>Proposer</w:t>
      </w:r>
      <w:r w:rsidR="000518CD">
        <w:t>.</w:t>
      </w:r>
    </w:p>
    <w:p w:rsidR="00C041EE" w:rsidRDefault="00C041EE" w:rsidP="00022897">
      <w:pPr>
        <w:ind w:left="720"/>
      </w:pPr>
    </w:p>
    <w:p w:rsidR="00595822" w:rsidRDefault="009E0D35" w:rsidP="00022897">
      <w:pPr>
        <w:ind w:left="720"/>
      </w:pPr>
      <w:r>
        <w:t>D</w:t>
      </w:r>
      <w:r w:rsidR="00893C52">
        <w:t>.</w:t>
      </w:r>
      <w:r w:rsidR="00020DD8">
        <w:tab/>
      </w:r>
      <w:r w:rsidR="00893C52">
        <w:t>For each key staff member: a resume</w:t>
      </w:r>
      <w:r w:rsidR="00595822">
        <w:t xml:space="preserve"> describing the </w:t>
      </w:r>
      <w:r w:rsidR="00893C52">
        <w:t xml:space="preserve">individual’s </w:t>
      </w:r>
      <w:r w:rsidR="00595822">
        <w:t xml:space="preserve">background and </w:t>
      </w:r>
      <w:r w:rsidR="00965215">
        <w:tab/>
      </w:r>
      <w:r w:rsidR="00595822">
        <w:t xml:space="preserve">experience, as well as </w:t>
      </w:r>
      <w:r w:rsidR="00893C52">
        <w:t>the</w:t>
      </w:r>
      <w:r w:rsidR="00595822">
        <w:t xml:space="preserve"> individual’s ability and experience in conducting the </w:t>
      </w:r>
      <w:r w:rsidR="00965215">
        <w:tab/>
      </w:r>
      <w:r w:rsidR="00595822">
        <w:t>proposed activities.</w:t>
      </w:r>
    </w:p>
    <w:p w:rsidR="00595822" w:rsidRDefault="00595822" w:rsidP="00022897">
      <w:pPr>
        <w:ind w:left="720"/>
      </w:pPr>
    </w:p>
    <w:p w:rsidR="00595822" w:rsidRDefault="00595822" w:rsidP="00022897">
      <w:pPr>
        <w:ind w:left="720"/>
      </w:pPr>
    </w:p>
    <w:p w:rsidR="00595822" w:rsidRDefault="009E0D35" w:rsidP="00022897">
      <w:pPr>
        <w:ind w:left="720"/>
      </w:pPr>
      <w:r>
        <w:t>F</w:t>
      </w:r>
      <w:r w:rsidR="00292053">
        <w:t>.</w:t>
      </w:r>
      <w:r w:rsidR="00595822">
        <w:tab/>
      </w:r>
      <w:r w:rsidR="00F709C0">
        <w:t>Proposed approach and methodology employed to</w:t>
      </w:r>
      <w:r w:rsidR="00595822">
        <w:t xml:space="preserve"> complete the </w:t>
      </w:r>
      <w:r w:rsidR="00292053">
        <w:t>work</w:t>
      </w:r>
      <w:r w:rsidR="00A9408B">
        <w:t>.</w:t>
      </w:r>
    </w:p>
    <w:p w:rsidR="00595822" w:rsidRDefault="00595822" w:rsidP="00F53BCD">
      <w:pPr>
        <w:ind w:left="360"/>
      </w:pPr>
    </w:p>
    <w:p w:rsidR="00B60F34" w:rsidRDefault="00B60F34" w:rsidP="00F53BCD">
      <w:pPr>
        <w:ind w:left="360"/>
      </w:pPr>
    </w:p>
    <w:p w:rsidR="007064DF" w:rsidRDefault="009E0D35" w:rsidP="00022897">
      <w:pPr>
        <w:pStyle w:val="ListParagraph"/>
        <w:tabs>
          <w:tab w:val="left" w:pos="1440"/>
        </w:tabs>
        <w:ind w:hanging="90"/>
        <w:rPr>
          <w:color w:val="000000"/>
        </w:rPr>
      </w:pPr>
      <w:r>
        <w:rPr>
          <w:color w:val="000000" w:themeColor="text1"/>
        </w:rPr>
        <w:t>G</w:t>
      </w:r>
      <w:r w:rsidR="007B0E96">
        <w:rPr>
          <w:color w:val="000000" w:themeColor="text1"/>
        </w:rPr>
        <w:t>.</w:t>
      </w:r>
      <w:r w:rsidR="00BD37B5">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EA595B">
        <w:rPr>
          <w:color w:val="000000"/>
        </w:rPr>
        <w:t xml:space="preserve"> </w:t>
      </w:r>
      <w:r w:rsidR="00FF6EFD">
        <w:rPr>
          <w:color w:val="000000"/>
        </w:rPr>
        <w:t>(</w:t>
      </w:r>
      <w:r w:rsidR="00FF6EFD" w:rsidRPr="009045C0">
        <w:rPr>
          <w:i/>
          <w:color w:val="000000"/>
          <w:sz w:val="20"/>
          <w:szCs w:val="20"/>
        </w:rPr>
        <w:t>Attachment</w:t>
      </w:r>
      <w:r w:rsidR="00FF6EFD">
        <w:rPr>
          <w:i/>
          <w:color w:val="000000"/>
          <w:sz w:val="20"/>
          <w:szCs w:val="20"/>
        </w:rPr>
        <w:t xml:space="preserve"> </w:t>
      </w:r>
      <w:r w:rsidR="00FF6EFD">
        <w:rPr>
          <w:i/>
          <w:sz w:val="20"/>
          <w:szCs w:val="20"/>
        </w:rPr>
        <w:t>3)</w:t>
      </w:r>
    </w:p>
    <w:p w:rsidR="00BD0D2D" w:rsidRDefault="00BD0D2D" w:rsidP="00F53BCD">
      <w:pPr>
        <w:pStyle w:val="ListParagraph"/>
        <w:tabs>
          <w:tab w:val="left" w:pos="1440"/>
        </w:tabs>
        <w:ind w:left="360"/>
        <w:rPr>
          <w:color w:val="000000"/>
        </w:rPr>
      </w:pPr>
    </w:p>
    <w:p w:rsidR="007064DF" w:rsidRDefault="00B7016D" w:rsidP="00022897">
      <w:pPr>
        <w:pStyle w:val="ListParagraph"/>
        <w:tabs>
          <w:tab w:val="left" w:pos="2160"/>
        </w:tabs>
        <w:ind w:left="1440"/>
        <w:rPr>
          <w:color w:val="000000"/>
        </w:rPr>
      </w:pPr>
      <w:proofErr w:type="spellStart"/>
      <w:r>
        <w:rPr>
          <w:color w:val="000000"/>
        </w:rPr>
        <w:t>i</w:t>
      </w:r>
      <w:proofErr w:type="spellEnd"/>
      <w:r>
        <w:rPr>
          <w:color w:val="000000"/>
        </w:rPr>
        <w:t>.</w:t>
      </w:r>
      <w:r w:rsidR="00EA595B">
        <w:rPr>
          <w:color w:val="000000"/>
        </w:rPr>
        <w:tab/>
        <w:t>T</w:t>
      </w:r>
      <w:r w:rsidR="00BD0D2D" w:rsidRPr="00BD0D2D">
        <w:rPr>
          <w:color w:val="000000"/>
        </w:rPr>
        <w:t xml:space="preserve">he Proposer must either indicate acceptance of the </w:t>
      </w:r>
      <w:r w:rsidR="00965215">
        <w:rPr>
          <w:color w:val="000000"/>
        </w:rPr>
        <w:tab/>
      </w:r>
      <w:r w:rsidR="00EC4775">
        <w:rPr>
          <w:color w:val="000000"/>
        </w:rPr>
        <w:t>Terms and Conditions</w:t>
      </w:r>
      <w:r w:rsidR="00BD0D2D" w:rsidRPr="00BD0D2D">
        <w:rPr>
          <w:color w:val="000000"/>
        </w:rPr>
        <w:t xml:space="preserve"> </w:t>
      </w:r>
      <w:r w:rsidR="00EA595B">
        <w:rPr>
          <w:color w:val="000000"/>
        </w:rPr>
        <w:tab/>
      </w:r>
      <w:r w:rsidR="00BD0D2D" w:rsidRPr="00BD0D2D">
        <w:rPr>
          <w:color w:val="000000"/>
        </w:rPr>
        <w:t xml:space="preserve">or clearly identify exceptions to the </w:t>
      </w:r>
      <w:r w:rsidR="00EC4775">
        <w:rPr>
          <w:color w:val="000000"/>
        </w:rPr>
        <w:t>Terms and Conditions</w:t>
      </w:r>
      <w:r w:rsidR="00BD0D2D" w:rsidRPr="00BD0D2D">
        <w:rPr>
          <w:color w:val="000000"/>
        </w:rPr>
        <w:t xml:space="preserve">. </w:t>
      </w:r>
      <w:r w:rsidR="00EA595B">
        <w:rPr>
          <w:color w:val="000000"/>
        </w:rPr>
        <w:t xml:space="preserve">An </w:t>
      </w:r>
      <w:r w:rsidR="00EA595B">
        <w:rPr>
          <w:color w:val="000000"/>
        </w:rPr>
        <w:tab/>
        <w:t xml:space="preserve">“exception” </w:t>
      </w:r>
      <w:r w:rsidR="00173CFE" w:rsidRPr="00173CFE">
        <w:rPr>
          <w:color w:val="000000"/>
        </w:rPr>
        <w:t xml:space="preserve">includes any addition, deletion, qualification, limitation, or </w:t>
      </w:r>
      <w:r w:rsidR="00EA595B">
        <w:rPr>
          <w:color w:val="000000"/>
        </w:rPr>
        <w:tab/>
      </w:r>
      <w:r w:rsidR="00173CFE" w:rsidRPr="00173CFE">
        <w:rPr>
          <w:color w:val="000000"/>
        </w:rPr>
        <w:t xml:space="preserve">other change.  </w:t>
      </w:r>
    </w:p>
    <w:p w:rsidR="00BD0D2D" w:rsidRDefault="00BD0D2D" w:rsidP="00022897">
      <w:pPr>
        <w:pStyle w:val="ListParagraph"/>
        <w:tabs>
          <w:tab w:val="left" w:pos="2160"/>
        </w:tabs>
        <w:ind w:left="1440"/>
        <w:rPr>
          <w:color w:val="000000"/>
        </w:rPr>
      </w:pPr>
    </w:p>
    <w:p w:rsidR="007064DF" w:rsidRDefault="00BD0D2D" w:rsidP="00022897">
      <w:pPr>
        <w:pStyle w:val="ListParagraph"/>
        <w:tabs>
          <w:tab w:val="left" w:pos="2160"/>
        </w:tabs>
        <w:ind w:left="144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w:t>
      </w:r>
      <w:r w:rsidR="00965215">
        <w:rPr>
          <w:color w:val="000000"/>
        </w:rPr>
        <w:tab/>
      </w:r>
      <w:r w:rsidRPr="00BD0D2D">
        <w:rPr>
          <w:color w:val="000000"/>
        </w:rPr>
        <w:t xml:space="preserve">version of the </w:t>
      </w:r>
      <w:r w:rsidR="00EC4775">
        <w:rPr>
          <w:color w:val="000000"/>
        </w:rPr>
        <w:t>Terms and Conditions</w:t>
      </w:r>
      <w:r w:rsidR="00EC4775" w:rsidRPr="00BD0D2D">
        <w:rPr>
          <w:color w:val="000000"/>
        </w:rPr>
        <w:t xml:space="preserve"> </w:t>
      </w:r>
      <w:r w:rsidR="00FF6EFD">
        <w:rPr>
          <w:color w:val="000000"/>
        </w:rPr>
        <w:t>(</w:t>
      </w:r>
      <w:r w:rsidR="00FF6EFD" w:rsidRPr="009045C0">
        <w:rPr>
          <w:i/>
          <w:color w:val="000000"/>
          <w:sz w:val="20"/>
          <w:szCs w:val="20"/>
        </w:rPr>
        <w:t>Attachment</w:t>
      </w:r>
      <w:r w:rsidR="00FF6EFD">
        <w:rPr>
          <w:i/>
          <w:color w:val="000000"/>
          <w:sz w:val="20"/>
          <w:szCs w:val="20"/>
        </w:rPr>
        <w:t xml:space="preserve"> </w:t>
      </w:r>
      <w:r w:rsidR="00FF6EFD">
        <w:rPr>
          <w:i/>
          <w:sz w:val="20"/>
          <w:szCs w:val="20"/>
        </w:rPr>
        <w:t xml:space="preserve">2) </w:t>
      </w:r>
      <w:r w:rsidRPr="00BD0D2D">
        <w:rPr>
          <w:color w:val="000000"/>
        </w:rPr>
        <w:t xml:space="preserve">that clearly tracks </w:t>
      </w:r>
      <w:r w:rsidR="00FF6EFD">
        <w:rPr>
          <w:color w:val="000000"/>
        </w:rPr>
        <w:tab/>
      </w:r>
      <w:r w:rsidRPr="00BD0D2D">
        <w:rPr>
          <w:color w:val="000000"/>
        </w:rPr>
        <w:t xml:space="preserve">proposed </w:t>
      </w:r>
      <w:r>
        <w:rPr>
          <w:color w:val="000000"/>
        </w:rPr>
        <w:t xml:space="preserve">changes, and </w:t>
      </w:r>
      <w:r w:rsidRPr="00BD0D2D">
        <w:rPr>
          <w:color w:val="000000"/>
        </w:rPr>
        <w:t xml:space="preserve">a written explanation or rationale for each </w:t>
      </w:r>
      <w:r w:rsidR="00FF6EFD">
        <w:rPr>
          <w:color w:val="000000"/>
        </w:rPr>
        <w:tab/>
      </w:r>
      <w:r w:rsidRPr="00BD0D2D">
        <w:rPr>
          <w:color w:val="000000"/>
        </w:rPr>
        <w:t>exception and/or proposed change.</w:t>
      </w:r>
      <w:r>
        <w:rPr>
          <w:color w:val="000000"/>
        </w:rPr>
        <w:t xml:space="preserve"> </w:t>
      </w:r>
    </w:p>
    <w:p w:rsidR="00857C9A" w:rsidRDefault="00857C9A" w:rsidP="00857C9A">
      <w:pPr>
        <w:pStyle w:val="ListParagraph"/>
        <w:tabs>
          <w:tab w:val="left" w:pos="720"/>
        </w:tabs>
        <w:ind w:left="360"/>
        <w:rPr>
          <w:color w:val="000000" w:themeColor="text1"/>
        </w:rPr>
      </w:pPr>
    </w:p>
    <w:p w:rsidR="00C221A1" w:rsidRDefault="00C221A1" w:rsidP="00857C9A">
      <w:pPr>
        <w:pStyle w:val="ListParagraph"/>
        <w:tabs>
          <w:tab w:val="left" w:pos="720"/>
        </w:tabs>
        <w:ind w:left="360"/>
        <w:rPr>
          <w:color w:val="000000" w:themeColor="text1"/>
        </w:rPr>
      </w:pPr>
    </w:p>
    <w:p w:rsidR="007064DF" w:rsidRDefault="009E0D35" w:rsidP="00022897">
      <w:pPr>
        <w:pStyle w:val="ListParagraph"/>
        <w:tabs>
          <w:tab w:val="left" w:pos="1440"/>
        </w:tabs>
        <w:ind w:left="630"/>
        <w:rPr>
          <w:color w:val="000000" w:themeColor="text1"/>
        </w:rPr>
      </w:pPr>
      <w:r>
        <w:rPr>
          <w:color w:val="000000" w:themeColor="text1"/>
        </w:rPr>
        <w:t>H</w:t>
      </w:r>
      <w:r w:rsidR="00112FA9">
        <w:rPr>
          <w:color w:val="000000" w:themeColor="text1"/>
        </w:rPr>
        <w:t>.</w:t>
      </w:r>
      <w:r w:rsidR="00112FA9">
        <w:rPr>
          <w:color w:val="000000" w:themeColor="text1"/>
        </w:rPr>
        <w:tab/>
      </w:r>
      <w:r w:rsidR="007B0E96">
        <w:rPr>
          <w:color w:val="000000" w:themeColor="text1"/>
        </w:rPr>
        <w:t>Certifications</w:t>
      </w:r>
      <w:r w:rsidR="00595811">
        <w:rPr>
          <w:color w:val="000000" w:themeColor="text1"/>
        </w:rPr>
        <w:t>, Attachments,</w:t>
      </w:r>
      <w:r w:rsidR="00423958">
        <w:rPr>
          <w:color w:val="000000" w:themeColor="text1"/>
        </w:rPr>
        <w:t xml:space="preserve"> and other requirements </w:t>
      </w:r>
      <w:r w:rsidR="007B0E96">
        <w:rPr>
          <w:color w:val="000000" w:themeColor="text1"/>
        </w:rPr>
        <w:t xml:space="preserve"> </w:t>
      </w:r>
    </w:p>
    <w:p w:rsidR="007B0E96" w:rsidRDefault="007B0E96" w:rsidP="00F53BCD">
      <w:pPr>
        <w:ind w:left="360"/>
        <w:rPr>
          <w:color w:val="000000" w:themeColor="text1"/>
        </w:rPr>
      </w:pPr>
    </w:p>
    <w:p w:rsidR="007064DF" w:rsidRDefault="007B0E96" w:rsidP="00022897">
      <w:pPr>
        <w:pStyle w:val="BodyText"/>
        <w:tabs>
          <w:tab w:val="num" w:pos="2250"/>
        </w:tabs>
        <w:ind w:left="1440"/>
      </w:pP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r w:rsidR="00FF6EFD">
        <w:rPr>
          <w:color w:val="000000" w:themeColor="text1"/>
        </w:rPr>
        <w:t xml:space="preserve"> </w:t>
      </w:r>
      <w:r w:rsidR="00FF6EFD">
        <w:rPr>
          <w:color w:val="000000" w:themeColor="text1"/>
        </w:rPr>
        <w:tab/>
      </w:r>
      <w:r w:rsidR="00FF6EFD">
        <w:rPr>
          <w:color w:val="000000"/>
        </w:rPr>
        <w:t>(</w:t>
      </w:r>
      <w:r w:rsidR="00FF6EFD" w:rsidRPr="009045C0">
        <w:rPr>
          <w:i/>
          <w:color w:val="000000"/>
          <w:sz w:val="20"/>
          <w:szCs w:val="20"/>
        </w:rPr>
        <w:t>Attachment</w:t>
      </w:r>
      <w:r w:rsidR="00FF6EFD">
        <w:rPr>
          <w:i/>
          <w:color w:val="000000"/>
          <w:sz w:val="20"/>
          <w:szCs w:val="20"/>
        </w:rPr>
        <w:t xml:space="preserve"> </w:t>
      </w:r>
      <w:r w:rsidR="00FF6EFD">
        <w:rPr>
          <w:i/>
          <w:sz w:val="20"/>
          <w:szCs w:val="20"/>
        </w:rPr>
        <w:t xml:space="preserve">6). </w:t>
      </w:r>
      <w:r w:rsidR="00112FA9">
        <w:rPr>
          <w:color w:val="000000" w:themeColor="text1"/>
        </w:rPr>
        <w:t>P</w:t>
      </w:r>
      <w:r w:rsidR="00B8213C" w:rsidRPr="00380F9A">
        <w:t xml:space="preserve">roposer has no interest that would constitute a conflict of </w:t>
      </w:r>
      <w:r w:rsidR="00FF6EFD">
        <w:tab/>
      </w:r>
      <w:r w:rsidR="00B8213C" w:rsidRPr="00380F9A">
        <w:t>interest under</w:t>
      </w:r>
      <w:r w:rsidR="00222963">
        <w:t xml:space="preserve"> </w:t>
      </w:r>
      <w:r w:rsidR="00B8213C" w:rsidRPr="00380F9A">
        <w:t xml:space="preserve">California Public Contract Code sections 10365.5, 10410 </w:t>
      </w:r>
      <w:r w:rsidR="00FF6EFD">
        <w:tab/>
      </w:r>
      <w:r w:rsidR="00B8213C" w:rsidRPr="00380F9A">
        <w:t>or 10411; Government Code sections 1090 et seq. or 87100 et seq.</w:t>
      </w:r>
      <w:r w:rsidR="00FF6EFD">
        <w:t xml:space="preserve">, </w:t>
      </w:r>
      <w:r w:rsidR="00B8213C" w:rsidRPr="00380F9A">
        <w:t xml:space="preserve">or </w:t>
      </w:r>
      <w:r w:rsidR="00FF6EFD">
        <w:tab/>
      </w:r>
      <w:r w:rsidR="00B8213C">
        <w:t xml:space="preserve">rule 10.103 or rule 10.104 of the </w:t>
      </w:r>
      <w:r w:rsidR="00B8213C" w:rsidRPr="00380F9A">
        <w:t xml:space="preserve">California Rules of Court, which restrict </w:t>
      </w:r>
      <w:r w:rsidR="00FF6EFD">
        <w:tab/>
      </w:r>
      <w:r w:rsidR="00B8213C" w:rsidRPr="00380F9A">
        <w:t xml:space="preserve">employees and former employees from contracting with judicial branch </w:t>
      </w:r>
      <w:r w:rsidR="00FF6EFD">
        <w:tab/>
      </w:r>
      <w:r w:rsidR="00B8213C" w:rsidRPr="00380F9A">
        <w:t>entities.</w:t>
      </w:r>
    </w:p>
    <w:p w:rsidR="007B0E96" w:rsidRDefault="007B0E96" w:rsidP="00022897">
      <w:pPr>
        <w:ind w:left="1440"/>
      </w:pPr>
    </w:p>
    <w:p w:rsidR="007064DF" w:rsidRDefault="00595811" w:rsidP="00022897">
      <w:pPr>
        <w:ind w:left="1440"/>
        <w:rPr>
          <w:i/>
          <w:color w:val="FF0000"/>
        </w:rPr>
      </w:pPr>
      <w:r>
        <w:rPr>
          <w:color w:val="000000" w:themeColor="text1"/>
        </w:rPr>
        <w:t>i</w:t>
      </w:r>
      <w:r w:rsidR="00C00178">
        <w:rPr>
          <w:color w:val="000000" w:themeColor="text1"/>
        </w:rPr>
        <w:t>i</w:t>
      </w:r>
      <w:r>
        <w:rPr>
          <w:color w:val="000000" w:themeColor="text1"/>
        </w:rPr>
        <w:t>.</w:t>
      </w:r>
      <w:r>
        <w:rPr>
          <w:color w:val="000000" w:themeColor="text1"/>
        </w:rPr>
        <w:tab/>
      </w:r>
      <w:r w:rsidR="00D92EF1">
        <w:rPr>
          <w:rFonts w:cs="Arial"/>
          <w:spacing w:val="-3"/>
        </w:rPr>
        <w:t>Proposer</w:t>
      </w:r>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 xml:space="preserve">affiliates </w:t>
      </w:r>
      <w:r w:rsidR="00965215">
        <w:rPr>
          <w:rFonts w:cs="Arial"/>
          <w:spacing w:val="-3"/>
        </w:rPr>
        <w:tab/>
      </w:r>
      <w:r w:rsidR="006308E7" w:rsidRPr="005F3277">
        <w:rPr>
          <w:rFonts w:cs="Arial"/>
          <w:spacing w:val="-3"/>
        </w:rPr>
        <w:t>that make sales for delivery into C</w:t>
      </w:r>
      <w:r w:rsidR="006308E7">
        <w:rPr>
          <w:rFonts w:cs="Arial"/>
          <w:spacing w:val="-3"/>
        </w:rPr>
        <w:t>alifornia, a copy of either (</w:t>
      </w:r>
      <w:proofErr w:type="spellStart"/>
      <w:r w:rsidR="006308E7">
        <w:rPr>
          <w:rFonts w:cs="Arial"/>
          <w:spacing w:val="-3"/>
        </w:rPr>
        <w:t>i</w:t>
      </w:r>
      <w:proofErr w:type="spellEnd"/>
      <w:r w:rsidR="006308E7">
        <w:rPr>
          <w:rFonts w:cs="Arial"/>
          <w:spacing w:val="-3"/>
        </w:rPr>
        <w:t>) a</w:t>
      </w:r>
      <w:r w:rsidR="006308E7" w:rsidRPr="005F3277">
        <w:rPr>
          <w:rFonts w:cs="Arial"/>
          <w:spacing w:val="-3"/>
        </w:rPr>
        <w:t xml:space="preserve"> California </w:t>
      </w:r>
      <w:r w:rsidR="00965215">
        <w:rPr>
          <w:rFonts w:cs="Arial"/>
          <w:spacing w:val="-3"/>
        </w:rPr>
        <w:tab/>
      </w:r>
      <w:r w:rsidR="006308E7" w:rsidRPr="005F3277">
        <w:rPr>
          <w:rFonts w:cs="Arial"/>
          <w:spacing w:val="-3"/>
        </w:rPr>
        <w:t xml:space="preserve">seller's permit issued under Revenue and Taxation Code section 6066 </w:t>
      </w:r>
      <w:r w:rsidR="006308E7">
        <w:rPr>
          <w:rFonts w:cs="Arial"/>
          <w:spacing w:val="-3"/>
        </w:rPr>
        <w:t>et seq.</w:t>
      </w:r>
      <w:r w:rsidR="006308E7" w:rsidRPr="005F3277">
        <w:rPr>
          <w:rFonts w:cs="Arial"/>
          <w:spacing w:val="-3"/>
        </w:rPr>
        <w:t xml:space="preserve"> </w:t>
      </w:r>
      <w:r w:rsidR="00965215">
        <w:rPr>
          <w:rFonts w:cs="Arial"/>
          <w:spacing w:val="-3"/>
        </w:rPr>
        <w:tab/>
      </w:r>
      <w:proofErr w:type="gramStart"/>
      <w:r w:rsidR="006308E7" w:rsidRPr="005F3277">
        <w:rPr>
          <w:rFonts w:cs="Arial"/>
          <w:spacing w:val="-3"/>
        </w:rPr>
        <w:t>or</w:t>
      </w:r>
      <w:proofErr w:type="gramEnd"/>
      <w:r w:rsidR="006308E7">
        <w:rPr>
          <w:rFonts w:cs="Arial"/>
          <w:spacing w:val="-3"/>
        </w:rPr>
        <w:t xml:space="preserve"> (ii) a</w:t>
      </w:r>
      <w:r w:rsidR="006308E7" w:rsidRPr="005F3277">
        <w:rPr>
          <w:rFonts w:cs="Arial"/>
          <w:spacing w:val="-3"/>
        </w:rPr>
        <w:t xml:space="preserve"> certificate of registration issued under Revenue and Taxation Code </w:t>
      </w:r>
      <w:r w:rsidR="00965215">
        <w:rPr>
          <w:rFonts w:cs="Arial"/>
          <w:spacing w:val="-3"/>
        </w:rPr>
        <w:tab/>
      </w:r>
      <w:r w:rsidR="006308E7" w:rsidRPr="005F3277">
        <w:rPr>
          <w:rFonts w:cs="Arial"/>
          <w:spacing w:val="-3"/>
        </w:rPr>
        <w:t>section 6226.</w:t>
      </w:r>
    </w:p>
    <w:p w:rsidR="007064DF" w:rsidRDefault="007064DF" w:rsidP="00022897">
      <w:pPr>
        <w:ind w:left="1440"/>
        <w:rPr>
          <w:i/>
          <w:color w:val="FF0000"/>
        </w:rPr>
      </w:pPr>
    </w:p>
    <w:p w:rsidR="007064DF" w:rsidRDefault="00B33A7B" w:rsidP="00022897">
      <w:pPr>
        <w:ind w:left="1440"/>
        <w:rPr>
          <w:color w:val="000000" w:themeColor="text1"/>
        </w:rPr>
      </w:pPr>
      <w:r>
        <w:rPr>
          <w:color w:val="000000" w:themeColor="text1"/>
        </w:rPr>
        <w:t>iii</w:t>
      </w:r>
      <w:r w:rsidR="00F06F43">
        <w:rPr>
          <w:color w:val="000000" w:themeColor="text1"/>
        </w:rPr>
        <w:t>.</w:t>
      </w:r>
      <w:r w:rsidR="00F06F43">
        <w:rPr>
          <w:color w:val="000000" w:themeColor="text1"/>
        </w:rPr>
        <w:tab/>
      </w:r>
      <w:r w:rsidR="00B60F34">
        <w:rPr>
          <w:color w:val="000000" w:themeColor="text1"/>
        </w:rPr>
        <w:t>If Proposer is a corporation,</w:t>
      </w:r>
      <w:r w:rsidR="00B60F34" w:rsidRPr="00ED0701">
        <w:rPr>
          <w:color w:val="000000" w:themeColor="text1"/>
        </w:rPr>
        <w:t xml:space="preserve"> proof that Proposer is in good standing and </w:t>
      </w:r>
      <w:r w:rsidR="00965215">
        <w:rPr>
          <w:color w:val="000000" w:themeColor="text1"/>
        </w:rPr>
        <w:tab/>
      </w:r>
      <w:r w:rsidR="00B60F34" w:rsidRPr="00ED0701">
        <w:rPr>
          <w:color w:val="000000" w:themeColor="text1"/>
        </w:rPr>
        <w:t>qualified to conduct business in California.</w:t>
      </w:r>
    </w:p>
    <w:p w:rsidR="007064DF" w:rsidRDefault="007064DF" w:rsidP="00022897">
      <w:pPr>
        <w:ind w:left="1440"/>
        <w:rPr>
          <w:color w:val="000000" w:themeColor="text1"/>
        </w:rPr>
      </w:pPr>
    </w:p>
    <w:p w:rsidR="007064DF" w:rsidRDefault="00B33A7B" w:rsidP="00022897">
      <w:pPr>
        <w:ind w:left="144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current business licenses, professional certifications, or other </w:t>
      </w:r>
      <w:r w:rsidR="00965215">
        <w:rPr>
          <w:rFonts w:cs="Arial"/>
          <w:spacing w:val="-3"/>
        </w:rPr>
        <w:tab/>
      </w:r>
      <w:r w:rsidR="00A74DB8" w:rsidRPr="00A96548">
        <w:rPr>
          <w:rFonts w:cs="Arial"/>
          <w:spacing w:val="-3"/>
        </w:rPr>
        <w:t>credentials</w:t>
      </w:r>
      <w:r w:rsidR="00A74DB8">
        <w:rPr>
          <w:rFonts w:cs="Arial"/>
          <w:spacing w:val="-3"/>
        </w:rPr>
        <w:t>.</w:t>
      </w:r>
      <w:r w:rsidR="00F06F43">
        <w:rPr>
          <w:rFonts w:cs="Arial"/>
          <w:spacing w:val="-3"/>
        </w:rPr>
        <w:t xml:space="preserve">  </w:t>
      </w:r>
    </w:p>
    <w:p w:rsidR="007064DF" w:rsidRDefault="007064DF" w:rsidP="00022897">
      <w:pPr>
        <w:ind w:left="1440"/>
        <w:rPr>
          <w:rFonts w:cs="Arial"/>
          <w:spacing w:val="-3"/>
        </w:rPr>
      </w:pPr>
    </w:p>
    <w:p w:rsidR="007064DF" w:rsidRDefault="00C00178" w:rsidP="00022897">
      <w:pPr>
        <w:ind w:left="1440"/>
        <w:rPr>
          <w:color w:val="000000" w:themeColor="text1"/>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 xml:space="preserve">Proof of financial solvency or stability (e.g., balance sheets and income </w:t>
      </w:r>
      <w:r w:rsidR="00965215">
        <w:rPr>
          <w:rFonts w:cs="Arial"/>
          <w:spacing w:val="-3"/>
        </w:rPr>
        <w:tab/>
      </w:r>
      <w:r w:rsidR="00A74DB8" w:rsidRPr="00A96548">
        <w:rPr>
          <w:rFonts w:cs="Arial"/>
          <w:spacing w:val="-3"/>
        </w:rPr>
        <w:t>statements)</w:t>
      </w:r>
      <w:r w:rsidR="00A74DB8">
        <w:rPr>
          <w:rFonts w:cs="Arial"/>
          <w:spacing w:val="-3"/>
        </w:rPr>
        <w:t>.</w:t>
      </w:r>
    </w:p>
    <w:p w:rsidR="00A74DB8" w:rsidRDefault="00A74DB8" w:rsidP="00F53BCD">
      <w:pPr>
        <w:ind w:left="360"/>
        <w:rPr>
          <w:color w:val="000000" w:themeColor="text1"/>
        </w:rPr>
      </w:pPr>
    </w:p>
    <w:p w:rsidR="00A06588" w:rsidRPr="00D33EA6" w:rsidRDefault="00E11AF9" w:rsidP="00380CE5">
      <w:pPr>
        <w:pStyle w:val="BodyTextIndent2"/>
        <w:keepNext/>
        <w:spacing w:after="0" w:line="240" w:lineRule="auto"/>
        <w:ind w:left="720" w:hanging="36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r w:rsidR="00BB5FC3">
        <w:t xml:space="preserve"> (</w:t>
      </w:r>
      <w:r w:rsidR="00BB5FC3" w:rsidRPr="00D3427A">
        <w:rPr>
          <w:i/>
          <w:sz w:val="20"/>
          <w:szCs w:val="20"/>
        </w:rPr>
        <w:t>Attachment 1</w:t>
      </w:r>
      <w:r w:rsidR="00265B1E">
        <w:rPr>
          <w:i/>
          <w:sz w:val="20"/>
          <w:szCs w:val="20"/>
        </w:rPr>
        <w:t>6</w:t>
      </w:r>
      <w:r w:rsidR="00BB5FC3">
        <w:t>)</w:t>
      </w:r>
      <w:r w:rsidR="00591BFA">
        <w:t>.</w:t>
      </w:r>
    </w:p>
    <w:p w:rsidR="00595822" w:rsidRDefault="00595822" w:rsidP="00F53BCD">
      <w:pPr>
        <w:ind w:left="360"/>
      </w:pPr>
    </w:p>
    <w:p w:rsidR="00C40C8B" w:rsidRDefault="00C40C8B" w:rsidP="00222963">
      <w:pPr>
        <w:pStyle w:val="ListParagraph"/>
        <w:numPr>
          <w:ilvl w:val="0"/>
          <w:numId w:val="53"/>
        </w:numPr>
        <w:ind w:hanging="90"/>
      </w:pPr>
      <w:r>
        <w:t>IT Goods:</w:t>
      </w:r>
    </w:p>
    <w:p w:rsidR="00C40C8B" w:rsidRDefault="00C40C8B" w:rsidP="00F53BCD">
      <w:pPr>
        <w:ind w:left="360"/>
      </w:pPr>
    </w:p>
    <w:p w:rsidR="00C40C8B" w:rsidRPr="00BB5FC3" w:rsidRDefault="00C40C8B" w:rsidP="00117F17">
      <w:pPr>
        <w:ind w:left="1440"/>
      </w:pPr>
      <w:proofErr w:type="spellStart"/>
      <w:r>
        <w:t>i</w:t>
      </w:r>
      <w:proofErr w:type="spellEnd"/>
      <w:r>
        <w:t>.</w:t>
      </w:r>
      <w:r>
        <w:tab/>
      </w:r>
      <w:r w:rsidR="00BB5FC3">
        <w:t xml:space="preserve">CMS/DMS </w:t>
      </w:r>
      <w:r w:rsidR="00A06588">
        <w:t xml:space="preserve">(Schedule 1) </w:t>
      </w:r>
      <w:r w:rsidR="00BB5FC3">
        <w:t>Application Software licensing</w:t>
      </w:r>
      <w:r w:rsidR="001E1555">
        <w:t xml:space="preserve"> – Supply any </w:t>
      </w:r>
      <w:r w:rsidR="00965215">
        <w:tab/>
      </w:r>
      <w:r w:rsidR="001E1555">
        <w:t xml:space="preserve">and all </w:t>
      </w:r>
      <w:r w:rsidR="001E1555">
        <w:tab/>
        <w:t>estimated software application licensing costs.</w:t>
      </w:r>
    </w:p>
    <w:p w:rsidR="00C40C8B" w:rsidRDefault="00C40C8B" w:rsidP="00F53BCD">
      <w:pPr>
        <w:ind w:left="360"/>
      </w:pPr>
    </w:p>
    <w:p w:rsidR="00C40C8B" w:rsidRDefault="00C40C8B" w:rsidP="00385E0C">
      <w:pPr>
        <w:pStyle w:val="ListParagraph"/>
        <w:numPr>
          <w:ilvl w:val="0"/>
          <w:numId w:val="53"/>
        </w:numPr>
        <w:ind w:left="720" w:firstLine="0"/>
      </w:pPr>
      <w:r>
        <w:t xml:space="preserve">IT Services: </w:t>
      </w:r>
    </w:p>
    <w:p w:rsidR="00246470" w:rsidRDefault="001E1555" w:rsidP="00965215">
      <w:pPr>
        <w:pStyle w:val="ListParagraph"/>
        <w:numPr>
          <w:ilvl w:val="0"/>
          <w:numId w:val="54"/>
        </w:numPr>
      </w:pPr>
      <w:r>
        <w:t>Professional</w:t>
      </w:r>
      <w:r w:rsidR="00BB5FC3">
        <w:t xml:space="preserve"> Services</w:t>
      </w:r>
      <w:r w:rsidR="00A06588">
        <w:t xml:space="preserve"> (Schedule 2)</w:t>
      </w:r>
      <w:r>
        <w:t xml:space="preserve"> – Supply any and all e</w:t>
      </w:r>
      <w:r w:rsidRPr="001E1555">
        <w:t>stimated Professional Services</w:t>
      </w:r>
      <w:r>
        <w:t xml:space="preserve"> </w:t>
      </w:r>
      <w:r>
        <w:tab/>
        <w:t>costs by implementation phase and a</w:t>
      </w:r>
      <w:r w:rsidR="00A06588">
        <w:t>ctivity in section 1</w:t>
      </w:r>
      <w:r w:rsidR="00591BFA">
        <w:t>,</w:t>
      </w:r>
      <w:r w:rsidR="00A06588">
        <w:t xml:space="preserve"> </w:t>
      </w:r>
      <w:r w:rsidR="006230B7">
        <w:t>as well as any and all assumed C</w:t>
      </w:r>
      <w:r w:rsidR="00A06588">
        <w:t>ourt p</w:t>
      </w:r>
      <w:r w:rsidR="00A06588" w:rsidRPr="00A06588">
        <w:t>articipation</w:t>
      </w:r>
      <w:r w:rsidR="00591BFA">
        <w:t xml:space="preserve"> in</w:t>
      </w:r>
      <w:r w:rsidR="00A06588">
        <w:t xml:space="preserve"> section 2</w:t>
      </w:r>
      <w:r w:rsidR="00591BFA">
        <w:t>.</w:t>
      </w:r>
    </w:p>
    <w:p w:rsidR="00246470" w:rsidRDefault="00246470" w:rsidP="00117F17">
      <w:pPr>
        <w:ind w:left="1440"/>
      </w:pPr>
    </w:p>
    <w:p w:rsidR="00246470" w:rsidRDefault="00246470" w:rsidP="00117F17">
      <w:pPr>
        <w:ind w:left="1440"/>
      </w:pPr>
      <w:r>
        <w:t>ii.</w:t>
      </w:r>
      <w:r>
        <w:tab/>
      </w:r>
      <w:r w:rsidR="00BB5FC3">
        <w:t>Maintenance and Support</w:t>
      </w:r>
      <w:r w:rsidR="00A06588">
        <w:t xml:space="preserve"> (Schedule 3)</w:t>
      </w:r>
      <w:r w:rsidR="00BB5FC3">
        <w:t xml:space="preserve"> –</w:t>
      </w:r>
      <w:r w:rsidR="001E1555">
        <w:t xml:space="preserve"> S</w:t>
      </w:r>
      <w:r w:rsidR="00BB5FC3">
        <w:t xml:space="preserve">upply three years of costs for </w:t>
      </w:r>
      <w:r w:rsidR="00965215">
        <w:tab/>
      </w:r>
      <w:r w:rsidR="00BB5FC3">
        <w:t>M&amp;S.</w:t>
      </w:r>
    </w:p>
    <w:p w:rsidR="005B04DF" w:rsidRDefault="005F5C25" w:rsidP="00222963">
      <w:pPr>
        <w:ind w:left="1440"/>
      </w:pPr>
      <w:r>
        <w:tab/>
      </w: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E11AF9"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t>Court</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E11AF9"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382173" w:rsidRDefault="00626AC2" w:rsidP="0020724B">
      <w:pPr>
        <w:keepNext/>
        <w:ind w:left="720"/>
      </w:pPr>
      <w:r>
        <w:t>The cost portion of prop</w:t>
      </w:r>
      <w:r w:rsidR="001974E1">
        <w:t xml:space="preserve">osals will be </w:t>
      </w:r>
      <w:r w:rsidR="00A7178B" w:rsidRPr="004E6603">
        <w:t xml:space="preserve">publicly opened on </w:t>
      </w:r>
      <w:r w:rsidR="00A7178B" w:rsidRPr="004E6603">
        <w:rPr>
          <w:color w:val="000000" w:themeColor="text1"/>
        </w:rPr>
        <w:t xml:space="preserve">08/14/12 </w:t>
      </w:r>
      <w:r w:rsidR="00A7178B" w:rsidRPr="004E6603">
        <w:t>at</w:t>
      </w:r>
      <w:r w:rsidR="004E6603">
        <w:t xml:space="preserve"> the AOC in San Francisco, California. </w:t>
      </w:r>
      <w:r w:rsidR="00651E8D" w:rsidRPr="00AC44D4">
        <w:t>At the time proposal</w:t>
      </w:r>
      <w:r w:rsidR="00651E8D">
        <w:t>s are opened</w:t>
      </w:r>
      <w:r w:rsidR="00651E8D" w:rsidRPr="00AC44D4">
        <w:t xml:space="preserve">, each proposal will be checked for the presence or absence of </w:t>
      </w:r>
      <w:r w:rsidR="00651E8D">
        <w:t xml:space="preserve">the required proposal contents.  </w:t>
      </w:r>
    </w:p>
    <w:p w:rsidR="00651E8D" w:rsidRPr="00382173" w:rsidRDefault="00651E8D" w:rsidP="00382173">
      <w:pPr>
        <w:widowControl w:val="0"/>
        <w:ind w:left="720"/>
        <w:rPr>
          <w:color w:val="FF0000"/>
        </w:rPr>
      </w:pPr>
      <w:r w:rsidRPr="00AC44D4">
        <w:tab/>
      </w:r>
    </w:p>
    <w:p w:rsidR="00651E8D" w:rsidRPr="0078233D" w:rsidRDefault="00651E8D" w:rsidP="00651E8D">
      <w:pPr>
        <w:numPr>
          <w:ilvl w:val="1"/>
          <w:numId w:val="40"/>
        </w:numPr>
        <w:contextualSpacing/>
      </w:pPr>
      <w:r w:rsidRPr="0078233D">
        <w:t xml:space="preserve">Proposals that contain false or misleading statements may be rejected if, in the opinion of the </w:t>
      </w:r>
      <w:r>
        <w:t xml:space="preserve">Court or the </w:t>
      </w:r>
      <w:r w:rsidRPr="0078233D">
        <w:t>AOC, the information was intended to mislead the state regarding a requiremen</w:t>
      </w:r>
      <w:r>
        <w:t>t of the solicitation document.</w:t>
      </w:r>
    </w:p>
    <w:p w:rsidR="00651E8D" w:rsidRPr="0078233D" w:rsidRDefault="00651E8D" w:rsidP="00651E8D">
      <w:pPr>
        <w:numPr>
          <w:ilvl w:val="1"/>
          <w:numId w:val="40"/>
        </w:numPr>
        <w:contextualSpacing/>
      </w:pPr>
      <w:r w:rsidRPr="0078233D">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t xml:space="preserve">also </w:t>
      </w:r>
      <w:r w:rsidRPr="0078233D">
        <w:t>c</w:t>
      </w:r>
      <w:r>
        <w:t>ause a proposal to be rejected.</w:t>
      </w:r>
    </w:p>
    <w:p w:rsidR="00651E8D" w:rsidRPr="0078233D" w:rsidRDefault="00651E8D" w:rsidP="00651E8D">
      <w:pPr>
        <w:numPr>
          <w:ilvl w:val="1"/>
          <w:numId w:val="40"/>
        </w:numPr>
        <w:contextualSpacing/>
      </w:pPr>
      <w:r w:rsidRPr="0078233D">
        <w:t xml:space="preserve">Cost sheets will be checked only if a proposal is determined to be otherwise qualified. All figures entered on the cost </w:t>
      </w:r>
      <w:r>
        <w:t>sheets must be clearly legible.</w:t>
      </w:r>
    </w:p>
    <w:p w:rsidR="00651E8D" w:rsidRPr="0078233D" w:rsidRDefault="00651E8D" w:rsidP="00651E8D">
      <w:pPr>
        <w:numPr>
          <w:ilvl w:val="1"/>
          <w:numId w:val="40"/>
        </w:numPr>
        <w:contextualSpacing/>
      </w:pPr>
      <w:r w:rsidRPr="0078233D">
        <w:t>During the evaluation process, the</w:t>
      </w:r>
      <w:r>
        <w:t xml:space="preserve"> Court or the</w:t>
      </w:r>
      <w:r w:rsidRPr="0078233D">
        <w:t xml:space="preserve"> AOC may require a vendor's representative to answer questions with regard to the vendor’s proposal. Failure of a vendor to respond and demonstrate in a timely manner that the claims made in its proposal are, in fact, true may be sufficient cause for de</w:t>
      </w:r>
      <w:r>
        <w:t>eming a proposal nonresponsive.</w:t>
      </w:r>
    </w:p>
    <w:p w:rsidR="00651E8D" w:rsidRDefault="00651E8D" w:rsidP="00651E8D">
      <w:pPr>
        <w:numPr>
          <w:ilvl w:val="1"/>
          <w:numId w:val="40"/>
        </w:numPr>
        <w:contextualSpacing/>
      </w:pPr>
      <w:r w:rsidRPr="0078233D">
        <w:t>A vendor is eligible for a total of 100 points for the written proposal.</w:t>
      </w:r>
    </w:p>
    <w:p w:rsidR="005856C3" w:rsidRDefault="005856C3" w:rsidP="00651E8D">
      <w:pPr>
        <w:numPr>
          <w:ilvl w:val="1"/>
          <w:numId w:val="40"/>
        </w:numPr>
        <w:contextualSpacing/>
      </w:pPr>
      <w:r w:rsidRPr="00E51D35">
        <w:t xml:space="preserve">Written proposals will be evaluated by the </w:t>
      </w:r>
      <w:r>
        <w:t xml:space="preserve">Court and the AOC per the following </w:t>
      </w:r>
      <w:r w:rsidRPr="00E51D35">
        <w:t>selection criteria and weightin</w:t>
      </w:r>
      <w:r>
        <w:t>g:</w:t>
      </w:r>
    </w:p>
    <w:p w:rsidR="005856C3" w:rsidRDefault="005856C3" w:rsidP="005856C3">
      <w:pPr>
        <w:ind w:left="1440"/>
        <w:contextualSpacing/>
      </w:pPr>
    </w:p>
    <w:p w:rsidR="00C95779" w:rsidRDefault="00C95779" w:rsidP="005856C3">
      <w:pPr>
        <w:ind w:left="1440"/>
        <w:contextualSpacing/>
      </w:pPr>
    </w:p>
    <w:p w:rsidR="00C95779" w:rsidRDefault="00C95779" w:rsidP="005856C3">
      <w:pPr>
        <w:ind w:left="1440"/>
        <w:contextualSpacing/>
      </w:pPr>
    </w:p>
    <w:p w:rsidR="007918EA" w:rsidRDefault="007918EA" w:rsidP="005856C3">
      <w:pPr>
        <w:ind w:left="1440"/>
        <w:contextualSpacing/>
      </w:pPr>
    </w:p>
    <w:p w:rsidR="00E27A05" w:rsidRDefault="00E27A05" w:rsidP="005856C3">
      <w:pPr>
        <w:ind w:left="1440"/>
        <w:contextualSpacing/>
      </w:pPr>
    </w:p>
    <w:tbl>
      <w:tblPr>
        <w:tblW w:w="7920" w:type="dxa"/>
        <w:tblInd w:w="828" w:type="dxa"/>
        <w:tblLook w:val="04A0"/>
      </w:tblPr>
      <w:tblGrid>
        <w:gridCol w:w="1977"/>
        <w:gridCol w:w="2871"/>
        <w:gridCol w:w="1816"/>
        <w:gridCol w:w="1256"/>
      </w:tblGrid>
      <w:tr w:rsidR="004824F0" w:rsidTr="006946BF">
        <w:trPr>
          <w:trHeight w:val="780"/>
          <w:tblHeader/>
        </w:trPr>
        <w:tc>
          <w:tcPr>
            <w:tcW w:w="1800" w:type="dxa"/>
            <w:tcBorders>
              <w:top w:val="single" w:sz="4" w:space="0" w:color="auto"/>
              <w:left w:val="single" w:sz="4" w:space="0" w:color="auto"/>
              <w:bottom w:val="single" w:sz="8" w:space="0" w:color="auto"/>
              <w:right w:val="single" w:sz="8" w:space="0" w:color="auto"/>
            </w:tcBorders>
            <w:shd w:val="clear" w:color="auto" w:fill="auto"/>
          </w:tcPr>
          <w:p w:rsidR="004824F0" w:rsidRDefault="00965215" w:rsidP="005856C3">
            <w:pPr>
              <w:rPr>
                <w:rFonts w:ascii="Arial" w:hAnsi="Arial" w:cs="Arial"/>
                <w:b/>
                <w:bCs/>
                <w:color w:val="000000"/>
              </w:rPr>
            </w:pPr>
            <w:r>
              <w:tab/>
            </w:r>
            <w:r>
              <w:tab/>
            </w:r>
            <w:r>
              <w:rPr>
                <w:rFonts w:ascii="Arial" w:hAnsi="Arial" w:cs="Arial"/>
                <w:b/>
                <w:bCs/>
                <w:color w:val="000000"/>
              </w:rPr>
              <w:t>Category</w:t>
            </w:r>
          </w:p>
        </w:tc>
        <w:tc>
          <w:tcPr>
            <w:tcW w:w="4860" w:type="dxa"/>
            <w:gridSpan w:val="2"/>
            <w:tcBorders>
              <w:top w:val="single" w:sz="8" w:space="0" w:color="auto"/>
              <w:left w:val="nil"/>
              <w:bottom w:val="single" w:sz="8" w:space="0" w:color="auto"/>
              <w:right w:val="single" w:sz="8" w:space="0" w:color="000000"/>
            </w:tcBorders>
            <w:shd w:val="clear" w:color="auto" w:fill="auto"/>
          </w:tcPr>
          <w:p w:rsidR="00D82C4E" w:rsidRDefault="00D82C4E" w:rsidP="00D82C4E">
            <w:pPr>
              <w:jc w:val="center"/>
              <w:rPr>
                <w:rFonts w:ascii="Arial" w:hAnsi="Arial" w:cs="Arial"/>
                <w:b/>
                <w:bCs/>
                <w:color w:val="000000"/>
              </w:rPr>
            </w:pPr>
          </w:p>
          <w:p w:rsidR="004824F0" w:rsidRDefault="004824F0" w:rsidP="00D82C4E">
            <w:pPr>
              <w:jc w:val="center"/>
              <w:rPr>
                <w:rFonts w:ascii="Arial" w:hAnsi="Arial" w:cs="Arial"/>
                <w:b/>
                <w:bCs/>
                <w:color w:val="000000"/>
              </w:rPr>
            </w:pPr>
            <w:r>
              <w:rPr>
                <w:rFonts w:ascii="Arial" w:hAnsi="Arial" w:cs="Arial"/>
                <w:b/>
                <w:bCs/>
                <w:color w:val="000000"/>
              </w:rPr>
              <w:t>Factors</w:t>
            </w:r>
          </w:p>
        </w:tc>
        <w:tc>
          <w:tcPr>
            <w:tcW w:w="1260" w:type="dxa"/>
            <w:tcBorders>
              <w:top w:val="single" w:sz="8" w:space="0" w:color="auto"/>
              <w:left w:val="nil"/>
              <w:bottom w:val="single" w:sz="8" w:space="0" w:color="auto"/>
              <w:right w:val="single" w:sz="8" w:space="0" w:color="auto"/>
            </w:tcBorders>
            <w:shd w:val="clear" w:color="auto" w:fill="auto"/>
          </w:tcPr>
          <w:p w:rsidR="004824F0" w:rsidRPr="00612D35" w:rsidRDefault="004824F0" w:rsidP="000438B4">
            <w:pPr>
              <w:jc w:val="center"/>
              <w:rPr>
                <w:rFonts w:ascii="Arial" w:hAnsi="Arial" w:cs="Arial"/>
                <w:b/>
                <w:bCs/>
                <w:color w:val="000000"/>
              </w:rPr>
            </w:pPr>
            <w:r w:rsidRPr="00612D35">
              <w:rPr>
                <w:rFonts w:ascii="Arial" w:hAnsi="Arial" w:cs="Arial"/>
                <w:b/>
                <w:bCs/>
                <w:color w:val="000000"/>
              </w:rPr>
              <w:t>Total Possible Points</w:t>
            </w:r>
          </w:p>
        </w:tc>
      </w:tr>
      <w:tr w:rsidR="004824F0" w:rsidTr="006946BF">
        <w:trPr>
          <w:trHeight w:val="915"/>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Contract Terms</w:t>
            </w:r>
          </w:p>
        </w:tc>
        <w:tc>
          <w:tcPr>
            <w:tcW w:w="2970" w:type="dxa"/>
            <w:tcBorders>
              <w:top w:val="nil"/>
              <w:left w:val="nil"/>
              <w:bottom w:val="single" w:sz="8" w:space="0" w:color="auto"/>
              <w:right w:val="nil"/>
            </w:tcBorders>
            <w:shd w:val="clear" w:color="auto" w:fill="auto"/>
          </w:tcPr>
          <w:p w:rsidR="004824F0" w:rsidRPr="00EE7786" w:rsidRDefault="004824F0" w:rsidP="00D3427A">
            <w:pPr>
              <w:rPr>
                <w:rFonts w:ascii="Arial" w:hAnsi="Arial" w:cs="Arial"/>
                <w:color w:val="000000"/>
                <w:sz w:val="18"/>
                <w:szCs w:val="18"/>
              </w:rPr>
            </w:pPr>
            <w:r w:rsidRPr="00EE7786">
              <w:rPr>
                <w:rFonts w:ascii="Arial" w:hAnsi="Arial" w:cs="Arial"/>
                <w:color w:val="000000"/>
                <w:sz w:val="18"/>
                <w:szCs w:val="18"/>
              </w:rPr>
              <w:t xml:space="preserve">Degree to which the Proposal </w:t>
            </w:r>
            <w:r>
              <w:rPr>
                <w:rFonts w:ascii="Arial" w:hAnsi="Arial" w:cs="Arial"/>
                <w:color w:val="000000"/>
                <w:sz w:val="18"/>
                <w:szCs w:val="18"/>
              </w:rPr>
              <w:t xml:space="preserve">accepts contract terms in </w:t>
            </w:r>
            <w:r w:rsidR="009045C0">
              <w:rPr>
                <w:rFonts w:ascii="Arial" w:hAnsi="Arial" w:cs="Arial"/>
                <w:color w:val="000000"/>
                <w:sz w:val="18"/>
                <w:szCs w:val="18"/>
              </w:rPr>
              <w:t>A</w:t>
            </w:r>
            <w:r>
              <w:rPr>
                <w:rFonts w:ascii="Arial" w:hAnsi="Arial" w:cs="Arial"/>
                <w:color w:val="000000"/>
                <w:sz w:val="18"/>
                <w:szCs w:val="18"/>
              </w:rPr>
              <w:t>ttachment 2 including compliance with regulatory and statutory requirements</w:t>
            </w:r>
          </w:p>
        </w:tc>
        <w:tc>
          <w:tcPr>
            <w:tcW w:w="1890"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10</w:t>
            </w:r>
          </w:p>
        </w:tc>
      </w:tr>
      <w:tr w:rsidR="004824F0" w:rsidTr="00C221A1">
        <w:trPr>
          <w:trHeight w:val="915"/>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Meeting Business Requirements</w:t>
            </w:r>
            <w:r w:rsidR="00D82C4E">
              <w:rPr>
                <w:rFonts w:ascii="Arial" w:hAnsi="Arial" w:cs="Arial"/>
                <w:color w:val="000000"/>
                <w:sz w:val="18"/>
                <w:szCs w:val="18"/>
              </w:rPr>
              <w:t xml:space="preserve"> </w:t>
            </w:r>
            <w:r w:rsidR="00F516EB">
              <w:rPr>
                <w:rFonts w:ascii="Arial" w:hAnsi="Arial" w:cs="Arial"/>
                <w:color w:val="000000"/>
                <w:sz w:val="18"/>
                <w:szCs w:val="18"/>
              </w:rPr>
              <w:t>and</w:t>
            </w:r>
          </w:p>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Deployment Services</w:t>
            </w:r>
            <w:r w:rsidR="00D73573">
              <w:rPr>
                <w:rFonts w:ascii="Arial" w:hAnsi="Arial" w:cs="Arial"/>
                <w:color w:val="000000"/>
                <w:sz w:val="18"/>
                <w:szCs w:val="18"/>
              </w:rPr>
              <w:t xml:space="preserve"> deliverables</w:t>
            </w:r>
          </w:p>
        </w:tc>
        <w:tc>
          <w:tcPr>
            <w:tcW w:w="2970" w:type="dxa"/>
            <w:tcBorders>
              <w:top w:val="nil"/>
              <w:left w:val="nil"/>
              <w:bottom w:val="single" w:sz="8" w:space="0" w:color="auto"/>
              <w:right w:val="nil"/>
            </w:tcBorders>
            <w:shd w:val="clear" w:color="auto" w:fill="auto"/>
          </w:tcPr>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Degree to which the vendor’s proposed solution meets the functional requirements</w:t>
            </w:r>
          </w:p>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Ability to manage and execute a successful implementation and smooth migration from any existing platforms</w:t>
            </w:r>
          </w:p>
        </w:tc>
        <w:tc>
          <w:tcPr>
            <w:tcW w:w="1890"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9317B7" w:rsidP="000438B4">
            <w:pPr>
              <w:jc w:val="center"/>
              <w:rPr>
                <w:rFonts w:ascii="Arial" w:hAnsi="Arial" w:cs="Arial"/>
                <w:b/>
                <w:bCs/>
                <w:color w:val="000000"/>
                <w:sz w:val="20"/>
                <w:szCs w:val="20"/>
              </w:rPr>
            </w:pPr>
            <w:r>
              <w:rPr>
                <w:rFonts w:ascii="Arial" w:hAnsi="Arial" w:cs="Arial"/>
                <w:b/>
                <w:bCs/>
                <w:color w:val="000000"/>
                <w:sz w:val="20"/>
                <w:szCs w:val="20"/>
              </w:rPr>
              <w:t>2</w:t>
            </w:r>
            <w:r w:rsidR="004824F0">
              <w:rPr>
                <w:rFonts w:ascii="Arial" w:hAnsi="Arial" w:cs="Arial"/>
                <w:b/>
                <w:bCs/>
                <w:color w:val="000000"/>
                <w:sz w:val="20"/>
                <w:szCs w:val="20"/>
              </w:rPr>
              <w:t>0</w:t>
            </w:r>
          </w:p>
        </w:tc>
      </w:tr>
      <w:tr w:rsidR="004824F0" w:rsidTr="00C221A1">
        <w:trPr>
          <w:trHeight w:val="1213"/>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Deployment Services</w:t>
            </w:r>
            <w:r>
              <w:rPr>
                <w:rFonts w:ascii="Arial" w:hAnsi="Arial" w:cs="Arial"/>
                <w:color w:val="000000"/>
                <w:sz w:val="18"/>
                <w:szCs w:val="18"/>
              </w:rPr>
              <w:t xml:space="preserve"> Proposal</w:t>
            </w:r>
          </w:p>
        </w:tc>
        <w:tc>
          <w:tcPr>
            <w:tcW w:w="2970" w:type="dxa"/>
            <w:tcBorders>
              <w:top w:val="nil"/>
              <w:left w:val="nil"/>
              <w:bottom w:val="single" w:sz="8" w:space="0" w:color="auto"/>
              <w:right w:val="single" w:sz="8" w:space="0" w:color="auto"/>
            </w:tcBorders>
            <w:shd w:val="clear" w:color="auto" w:fill="auto"/>
          </w:tcPr>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Ability to manage and execute a successful implementation and smooth migration from any existing platforms</w:t>
            </w:r>
          </w:p>
        </w:tc>
        <w:tc>
          <w:tcPr>
            <w:tcW w:w="1890" w:type="dxa"/>
            <w:tcBorders>
              <w:top w:val="nil"/>
              <w:left w:val="nil"/>
              <w:bottom w:val="single" w:sz="8" w:space="0" w:color="auto"/>
              <w:right w:val="single" w:sz="8" w:space="0" w:color="auto"/>
            </w:tcBorders>
            <w:shd w:val="clear" w:color="auto" w:fill="auto"/>
            <w:vAlign w:val="center"/>
          </w:tcPr>
          <w:p w:rsidR="004824F0" w:rsidRPr="00D82C4E" w:rsidRDefault="009F321C" w:rsidP="000438B4">
            <w:pPr>
              <w:jc w:val="right"/>
              <w:rPr>
                <w:rFonts w:ascii="Arial" w:hAnsi="Arial" w:cs="Arial"/>
                <w:color w:val="000000"/>
                <w:sz w:val="20"/>
                <w:szCs w:val="20"/>
              </w:rPr>
            </w:pPr>
            <w:r w:rsidRPr="009F321C">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Pr="00EE7786" w:rsidRDefault="009317B7" w:rsidP="000438B4">
            <w:pPr>
              <w:jc w:val="center"/>
              <w:rPr>
                <w:rFonts w:ascii="Arial" w:hAnsi="Arial" w:cs="Arial"/>
                <w:b/>
                <w:bCs/>
                <w:color w:val="000000"/>
                <w:sz w:val="18"/>
                <w:szCs w:val="18"/>
              </w:rPr>
            </w:pPr>
            <w:r>
              <w:rPr>
                <w:rFonts w:ascii="Arial" w:hAnsi="Arial" w:cs="Arial"/>
                <w:b/>
                <w:bCs/>
                <w:color w:val="000000"/>
                <w:sz w:val="18"/>
                <w:szCs w:val="18"/>
              </w:rPr>
              <w:t>2</w:t>
            </w:r>
            <w:r w:rsidR="004824F0">
              <w:rPr>
                <w:rFonts w:ascii="Arial" w:hAnsi="Arial" w:cs="Arial"/>
                <w:b/>
                <w:bCs/>
                <w:color w:val="000000"/>
                <w:sz w:val="18"/>
                <w:szCs w:val="18"/>
              </w:rPr>
              <w:t>0</w:t>
            </w:r>
          </w:p>
        </w:tc>
      </w:tr>
      <w:tr w:rsidR="004824F0" w:rsidTr="00C221A1">
        <w:trPr>
          <w:trHeight w:val="1320"/>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Purchase Price</w:t>
            </w:r>
          </w:p>
        </w:tc>
        <w:tc>
          <w:tcPr>
            <w:tcW w:w="2970" w:type="dxa"/>
            <w:tcBorders>
              <w:top w:val="nil"/>
              <w:left w:val="nil"/>
              <w:bottom w:val="single" w:sz="8" w:space="0" w:color="auto"/>
              <w:right w:val="single" w:sz="8" w:space="0" w:color="auto"/>
            </w:tcBorders>
            <w:shd w:val="clear" w:color="auto" w:fill="auto"/>
          </w:tcPr>
          <w:p w:rsidR="004824F0" w:rsidRPr="00EE7786" w:rsidRDefault="004824F0" w:rsidP="000438B4">
            <w:pPr>
              <w:rPr>
                <w:rFonts w:ascii="Arial" w:hAnsi="Arial" w:cs="Arial"/>
                <w:color w:val="000000"/>
                <w:sz w:val="18"/>
                <w:szCs w:val="18"/>
              </w:rPr>
            </w:pPr>
            <w:r>
              <w:rPr>
                <w:rFonts w:ascii="Arial" w:hAnsi="Arial" w:cs="Arial"/>
                <w:color w:val="000000"/>
                <w:sz w:val="18"/>
                <w:szCs w:val="18"/>
              </w:rPr>
              <w:t xml:space="preserve">Overall Cost, including any ongoing </w:t>
            </w:r>
            <w:r w:rsidRPr="00EE7786">
              <w:rPr>
                <w:rFonts w:ascii="Arial" w:hAnsi="Arial" w:cs="Arial"/>
                <w:color w:val="000000"/>
                <w:sz w:val="18"/>
                <w:szCs w:val="18"/>
              </w:rPr>
              <w:t xml:space="preserve">support </w:t>
            </w:r>
            <w:r>
              <w:rPr>
                <w:rFonts w:ascii="Arial" w:hAnsi="Arial" w:cs="Arial"/>
                <w:color w:val="000000"/>
                <w:sz w:val="18"/>
                <w:szCs w:val="18"/>
              </w:rPr>
              <w:t xml:space="preserve">and maintenance </w:t>
            </w:r>
            <w:r w:rsidRPr="00EE7786">
              <w:rPr>
                <w:rFonts w:ascii="Arial" w:hAnsi="Arial" w:cs="Arial"/>
                <w:color w:val="000000"/>
                <w:sz w:val="18"/>
                <w:szCs w:val="18"/>
              </w:rPr>
              <w:t>that may be required by the Court or its agents</w:t>
            </w:r>
          </w:p>
        </w:tc>
        <w:tc>
          <w:tcPr>
            <w:tcW w:w="1890" w:type="dxa"/>
            <w:tcBorders>
              <w:top w:val="nil"/>
              <w:left w:val="nil"/>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50</w:t>
            </w:r>
          </w:p>
        </w:tc>
      </w:tr>
      <w:tr w:rsidR="004824F0" w:rsidTr="00C221A1">
        <w:trPr>
          <w:trHeight w:val="315"/>
        </w:trPr>
        <w:tc>
          <w:tcPr>
            <w:tcW w:w="1800" w:type="dxa"/>
            <w:tcBorders>
              <w:top w:val="nil"/>
              <w:left w:val="single" w:sz="4" w:space="0" w:color="auto"/>
              <w:bottom w:val="single" w:sz="8" w:space="0" w:color="auto"/>
              <w:right w:val="nil"/>
            </w:tcBorders>
            <w:shd w:val="clear" w:color="auto" w:fill="auto"/>
          </w:tcPr>
          <w:p w:rsidR="004824F0" w:rsidRDefault="004824F0" w:rsidP="000438B4">
            <w:pPr>
              <w:rPr>
                <w:rFonts w:ascii="Arial" w:hAnsi="Arial" w:cs="Arial"/>
                <w:b/>
                <w:bCs/>
                <w:color w:val="000000"/>
                <w:sz w:val="20"/>
                <w:szCs w:val="20"/>
              </w:rPr>
            </w:pPr>
          </w:p>
        </w:tc>
        <w:tc>
          <w:tcPr>
            <w:tcW w:w="2970" w:type="dxa"/>
            <w:tcBorders>
              <w:top w:val="nil"/>
              <w:left w:val="nil"/>
              <w:bottom w:val="single" w:sz="8" w:space="0" w:color="auto"/>
              <w:right w:val="nil"/>
            </w:tcBorders>
            <w:shd w:val="clear" w:color="auto" w:fill="auto"/>
          </w:tcPr>
          <w:p w:rsidR="004824F0" w:rsidRDefault="004824F0" w:rsidP="000438B4">
            <w:pPr>
              <w:rPr>
                <w:rFonts w:ascii="Arial" w:hAnsi="Arial" w:cs="Arial"/>
                <w:color w:val="000000"/>
                <w:sz w:val="20"/>
                <w:szCs w:val="20"/>
              </w:rPr>
            </w:pPr>
          </w:p>
        </w:tc>
        <w:tc>
          <w:tcPr>
            <w:tcW w:w="1890" w:type="dxa"/>
            <w:tcBorders>
              <w:top w:val="nil"/>
              <w:left w:val="nil"/>
              <w:bottom w:val="single" w:sz="8" w:space="0" w:color="auto"/>
              <w:right w:val="nil"/>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8" w:space="0" w:color="auto"/>
              <w:right w:val="single" w:sz="4" w:space="0" w:color="auto"/>
            </w:tcBorders>
            <w:shd w:val="clear" w:color="auto" w:fill="auto"/>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 </w:t>
            </w:r>
          </w:p>
        </w:tc>
      </w:tr>
      <w:tr w:rsidR="004824F0" w:rsidTr="00C221A1">
        <w:trPr>
          <w:trHeight w:val="645"/>
        </w:trPr>
        <w:tc>
          <w:tcPr>
            <w:tcW w:w="1800" w:type="dxa"/>
            <w:tcBorders>
              <w:top w:val="nil"/>
              <w:left w:val="single" w:sz="4" w:space="0" w:color="auto"/>
              <w:bottom w:val="single" w:sz="8" w:space="0" w:color="auto"/>
              <w:right w:val="single" w:sz="8" w:space="0" w:color="auto"/>
            </w:tcBorders>
            <w:shd w:val="clear" w:color="auto" w:fill="auto"/>
          </w:tcPr>
          <w:p w:rsidR="004824F0" w:rsidRPr="00BF2C63" w:rsidRDefault="004824F0" w:rsidP="000438B4">
            <w:pPr>
              <w:jc w:val="center"/>
              <w:rPr>
                <w:rFonts w:ascii="Arial" w:hAnsi="Arial" w:cs="Arial"/>
                <w:b/>
                <w:bCs/>
                <w:color w:val="000000"/>
              </w:rPr>
            </w:pPr>
            <w:r w:rsidRPr="00BF2C63">
              <w:rPr>
                <w:rFonts w:ascii="Arial" w:hAnsi="Arial" w:cs="Arial"/>
                <w:b/>
                <w:color w:val="000000"/>
              </w:rPr>
              <w:t>Grand Total Points</w:t>
            </w:r>
          </w:p>
        </w:tc>
        <w:tc>
          <w:tcPr>
            <w:tcW w:w="2970"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b/>
                <w:bCs/>
                <w:color w:val="000000"/>
              </w:rPr>
            </w:pPr>
            <w:r>
              <w:rPr>
                <w:rFonts w:ascii="Arial" w:hAnsi="Arial" w:cs="Arial"/>
                <w:b/>
                <w:bCs/>
                <w:color w:val="000000"/>
              </w:rPr>
              <w:t> </w:t>
            </w:r>
          </w:p>
        </w:tc>
        <w:tc>
          <w:tcPr>
            <w:tcW w:w="1260" w:type="dxa"/>
            <w:tcBorders>
              <w:top w:val="single" w:sz="8" w:space="0" w:color="auto"/>
              <w:left w:val="nil"/>
              <w:bottom w:val="single" w:sz="8" w:space="0" w:color="auto"/>
              <w:right w:val="single" w:sz="8" w:space="0" w:color="auto"/>
            </w:tcBorders>
            <w:shd w:val="clear" w:color="000000" w:fill="FFFFCC"/>
            <w:vAlign w:val="center"/>
          </w:tcPr>
          <w:p w:rsidR="004824F0" w:rsidRPr="00B2165D" w:rsidRDefault="004824F0" w:rsidP="000438B4">
            <w:pPr>
              <w:jc w:val="center"/>
              <w:rPr>
                <w:rFonts w:ascii="Arial" w:hAnsi="Arial" w:cs="Arial"/>
                <w:b/>
                <w:bCs/>
                <w:color w:val="000000"/>
              </w:rPr>
            </w:pPr>
            <w:r w:rsidRPr="00B2165D">
              <w:rPr>
                <w:rFonts w:ascii="Arial" w:hAnsi="Arial" w:cs="Arial"/>
                <w:b/>
                <w:bCs/>
                <w:color w:val="000000"/>
              </w:rPr>
              <w:t>100</w:t>
            </w:r>
          </w:p>
        </w:tc>
      </w:tr>
    </w:tbl>
    <w:p w:rsidR="00C46E3C" w:rsidRDefault="00C46E3C">
      <w:pPr>
        <w:contextualSpacing/>
      </w:pPr>
    </w:p>
    <w:p w:rsidR="00C46E3C" w:rsidRDefault="00C46E3C">
      <w:pPr>
        <w:contextualSpacing/>
      </w:pPr>
    </w:p>
    <w:p w:rsidR="006562BF" w:rsidRPr="005E0EE1" w:rsidRDefault="00E11AF9" w:rsidP="006562BF">
      <w:pPr>
        <w:widowControl w:val="0"/>
        <w:ind w:left="720" w:hanging="720"/>
        <w:rPr>
          <w:b/>
          <w:bCs/>
        </w:rPr>
      </w:pPr>
      <w:r>
        <w:rPr>
          <w:b/>
          <w:bCs/>
        </w:rPr>
        <w:t>11</w:t>
      </w:r>
      <w:r w:rsidR="006562BF" w:rsidRPr="005E0EE1">
        <w:rPr>
          <w:b/>
          <w:bCs/>
        </w:rPr>
        <w:t>.0</w:t>
      </w:r>
      <w:r w:rsidR="006562BF" w:rsidRPr="005E0EE1">
        <w:rPr>
          <w:b/>
          <w:bCs/>
        </w:rPr>
        <w:tab/>
      </w:r>
      <w:r w:rsidR="007820E6">
        <w:rPr>
          <w:b/>
          <w:bCs/>
        </w:rPr>
        <w:t xml:space="preserve"> PRESENTATIONS (SOLUTIONS DEMONSTRATIONS AND INTERVIEWS) </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8B50E8">
        <w:t>Court</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 xml:space="preserve">to assist in finalizing the ranking </w:t>
      </w:r>
      <w:r w:rsidR="004E6603">
        <w:rPr>
          <w:color w:val="000000"/>
        </w:rPr>
        <w:t xml:space="preserve">of </w:t>
      </w:r>
      <w:r w:rsidR="002E543F">
        <w:rPr>
          <w:color w:val="000000"/>
        </w:rPr>
        <w:t>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50E8">
        <w:t>Court</w:t>
      </w:r>
      <w:r>
        <w:t xml:space="preserve">’s offices. The </w:t>
      </w:r>
      <w:r w:rsidR="008B50E8">
        <w:t>Court</w:t>
      </w:r>
      <w:r>
        <w:t xml:space="preserve"> will not reimburse </w:t>
      </w:r>
      <w:r w:rsidR="00A66B5A">
        <w:t>Proposers</w:t>
      </w:r>
      <w:r>
        <w:t xml:space="preserve"> for any costs incurred in traveling to or from the interview location. </w:t>
      </w:r>
      <w:r w:rsidRPr="005E0EE1">
        <w:t xml:space="preserve">The </w:t>
      </w:r>
      <w:r w:rsidR="008B50E8">
        <w:t>Court</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Default="006562BF" w:rsidP="006562BF">
      <w:pPr>
        <w:ind w:left="720"/>
        <w:rPr>
          <w:sz w:val="20"/>
          <w:szCs w:val="20"/>
        </w:rPr>
      </w:pPr>
    </w:p>
    <w:p w:rsidR="00387389" w:rsidRDefault="00387389" w:rsidP="006562BF">
      <w:pPr>
        <w:ind w:left="720"/>
        <w:rPr>
          <w:sz w:val="20"/>
          <w:szCs w:val="20"/>
        </w:rPr>
      </w:pPr>
    </w:p>
    <w:p w:rsidR="006562BF" w:rsidRPr="005E0EE1" w:rsidRDefault="00E11AF9"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2E543F" w:rsidP="006562BF">
      <w:pPr>
        <w:pStyle w:val="BodyTextIndent"/>
        <w:spacing w:after="240"/>
        <w:ind w:left="720"/>
      </w:pPr>
      <w:r>
        <w:t xml:space="preserve">One copy of each </w:t>
      </w:r>
      <w:r w:rsidRPr="005E0EE1">
        <w:t xml:space="preserve">proposal will be retained </w:t>
      </w:r>
      <w:r>
        <w:t xml:space="preserve">by the Court </w:t>
      </w:r>
      <w:r w:rsidRPr="005E0EE1">
        <w:t xml:space="preserve">for official files and </w:t>
      </w:r>
      <w:r>
        <w:t xml:space="preserve">will </w:t>
      </w:r>
      <w:r w:rsidRPr="005E0EE1">
        <w:t>become a public record</w:t>
      </w:r>
      <w:r>
        <w:t>.</w:t>
      </w:r>
      <w:r>
        <w:rPr>
          <w:color w:val="000000" w:themeColor="text1"/>
        </w:rPr>
        <w:t xml:space="preserve"> </w:t>
      </w:r>
      <w:r w:rsidR="00F40B4D" w:rsidRPr="0046465F">
        <w:rPr>
          <w:color w:val="000000" w:themeColor="text1"/>
        </w:rPr>
        <w:t xml:space="preserve">California judicial branch entities are subject to </w:t>
      </w:r>
      <w:r w:rsidR="00F40B4D">
        <w:rPr>
          <w:color w:val="000000" w:themeColor="text1"/>
        </w:rPr>
        <w:t xml:space="preserve">rule 10.500 of the </w:t>
      </w:r>
      <w:r w:rsidR="00F40B4D" w:rsidRPr="0046465F">
        <w:rPr>
          <w:color w:val="000000" w:themeColor="text1"/>
        </w:rPr>
        <w:t>California Rule of Court, which governs public access to judicial administrative records</w:t>
      </w:r>
      <w:r w:rsidR="00F40B4D">
        <w:rPr>
          <w:color w:val="000000" w:themeColor="text1"/>
        </w:rPr>
        <w:t xml:space="preserve"> </w:t>
      </w:r>
      <w:r w:rsidR="00F40B4D" w:rsidRPr="0046465F">
        <w:rPr>
          <w:color w:val="000000" w:themeColor="text1"/>
        </w:rPr>
        <w:t>(see</w:t>
      </w:r>
      <w:r w:rsidR="00F40B4D">
        <w:rPr>
          <w:color w:val="000000" w:themeColor="text1"/>
        </w:rPr>
        <w:t xml:space="preserve"> </w:t>
      </w:r>
      <w:r w:rsidR="00F40B4D" w:rsidRPr="008A14EF">
        <w:rPr>
          <w:i/>
        </w:rPr>
        <w:t>www.courtinfo.ca.gov/cms/rules/index.cfm?title=ten&amp;linkid=rule10_500</w:t>
      </w:r>
      <w:r w:rsidR="00F40B4D" w:rsidRPr="0046465F">
        <w:rPr>
          <w:color w:val="000000" w:themeColor="text1"/>
        </w:rPr>
        <w:t>)</w:t>
      </w:r>
      <w:r w:rsidR="00F40B4D">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w:t>
      </w:r>
      <w:r w:rsidR="008B50E8">
        <w:t>Court</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w:t>
      </w:r>
      <w:r w:rsidRPr="00953A7F">
        <w:t xml:space="preserve"> If the </w:t>
      </w:r>
      <w:r w:rsidR="008B50E8">
        <w:t>Court</w:t>
      </w:r>
      <w:r w:rsidRPr="00953A7F">
        <w:t xml:space="preserve"> finds or reasonably believes that the material so marked is </w:t>
      </w:r>
      <w:r w:rsidRPr="00953A7F">
        <w:rPr>
          <w:b/>
        </w:rPr>
        <w:t>not</w:t>
      </w:r>
      <w:r w:rsidRPr="00953A7F">
        <w:t xml:space="preserve"> exempt from disclosure, the </w:t>
      </w:r>
      <w:r w:rsidR="008B50E8">
        <w:t>Court</w:t>
      </w:r>
      <w:r w:rsidRPr="00953A7F">
        <w:t xml:space="preserve"> will disclose the information regardless of the marking or notation seeking confidential treatment.</w:t>
      </w:r>
    </w:p>
    <w:p w:rsidR="00825BC4" w:rsidRDefault="00E11AF9"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ENTERPRISE PARTICIPATION GOALS</w:t>
      </w:r>
    </w:p>
    <w:p w:rsidR="00331367" w:rsidRDefault="00331367" w:rsidP="00336ABC">
      <w:pPr>
        <w:pStyle w:val="BodyText"/>
        <w:ind w:left="720"/>
        <w:rPr>
          <w:color w:val="000000" w:themeColor="text1"/>
        </w:rPr>
      </w:pPr>
    </w:p>
    <w:p w:rsidR="00825BC4" w:rsidRPr="00331367" w:rsidRDefault="00C01CAC" w:rsidP="00336ABC">
      <w:pPr>
        <w:pStyle w:val="BodyText"/>
        <w:ind w:left="720"/>
      </w:pPr>
      <w:r w:rsidRPr="00331367">
        <w:t>The Court has waived the inclusion of DVBE part</w:t>
      </w:r>
      <w:r w:rsidR="00331367">
        <w:t>icipation in this solicitation.</w:t>
      </w:r>
      <w:r w:rsidR="00336ABC" w:rsidRPr="00331367">
        <w:t xml:space="preserve">  </w:t>
      </w:r>
    </w:p>
    <w:p w:rsidR="00053778" w:rsidRPr="0046465F" w:rsidRDefault="00E11AF9"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195BCD" w:rsidRDefault="00C8141D" w:rsidP="00011D10">
      <w:pPr>
        <w:ind w:left="720" w:right="468" w:hanging="360"/>
        <w:rPr>
          <w:color w:val="000000" w:themeColor="text1"/>
        </w:rPr>
      </w:pPr>
      <w:r>
        <w:rPr>
          <w:color w:val="000000" w:themeColor="text1"/>
        </w:rPr>
        <w:tab/>
      </w:r>
      <w:r w:rsidR="00053778"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sidR="00053778">
        <w:rPr>
          <w:color w:val="000000" w:themeColor="text1"/>
        </w:rPr>
        <w:t>. Failure of a P</w:t>
      </w:r>
      <w:r w:rsidR="00053778" w:rsidRPr="00F3548B">
        <w:rPr>
          <w:color w:val="000000" w:themeColor="text1"/>
        </w:rPr>
        <w:t xml:space="preserve">roposer to comply with the protest procedures set forth in </w:t>
      </w:r>
      <w:r w:rsidR="00053778">
        <w:rPr>
          <w:color w:val="000000" w:themeColor="text1"/>
        </w:rPr>
        <w:t>that chapter</w:t>
      </w:r>
      <w:r w:rsidR="00053778" w:rsidRPr="00F3548B">
        <w:rPr>
          <w:color w:val="000000" w:themeColor="text1"/>
        </w:rPr>
        <w:t xml:space="preserve"> will render a protest inadequate and nonresponsive, and will result in rejection of the protest. </w:t>
      </w:r>
      <w:r w:rsidR="00053778" w:rsidRPr="005A3E81">
        <w:rPr>
          <w:color w:val="000000" w:themeColor="text1"/>
        </w:rPr>
        <w:t xml:space="preserve">The deadline for the </w:t>
      </w:r>
      <w:r w:rsidR="008B50E8">
        <w:rPr>
          <w:color w:val="000000" w:themeColor="text1"/>
        </w:rPr>
        <w:t>Court</w:t>
      </w:r>
      <w:r w:rsidR="00053778" w:rsidRPr="005A3E81">
        <w:rPr>
          <w:color w:val="000000" w:themeColor="text1"/>
        </w:rPr>
        <w:t xml:space="preserve"> to receive a solicitation specifications protest </w:t>
      </w:r>
      <w:r w:rsidR="00053778" w:rsidRPr="004C7D73">
        <w:rPr>
          <w:color w:val="000000" w:themeColor="text1"/>
        </w:rPr>
        <w:t xml:space="preserve">is </w:t>
      </w:r>
      <w:r w:rsidR="00656AC5" w:rsidRPr="004C7D73">
        <w:rPr>
          <w:color w:val="000000" w:themeColor="text1"/>
        </w:rPr>
        <w:t>7/</w:t>
      </w:r>
      <w:r w:rsidR="00AF7CC0">
        <w:rPr>
          <w:color w:val="000000" w:themeColor="text1"/>
        </w:rPr>
        <w:t>13</w:t>
      </w:r>
      <w:r w:rsidR="00656AC5" w:rsidRPr="004C7D73">
        <w:rPr>
          <w:color w:val="000000" w:themeColor="text1"/>
        </w:rPr>
        <w:t>/12</w:t>
      </w:r>
      <w:r w:rsidR="00053778" w:rsidRPr="004C7D73">
        <w:rPr>
          <w:color w:val="000000" w:themeColor="text1"/>
        </w:rPr>
        <w:t>.</w:t>
      </w:r>
      <w:r w:rsidR="00053778" w:rsidRPr="005A3E81">
        <w:rPr>
          <w:color w:val="000000" w:themeColor="text1"/>
        </w:rPr>
        <w:t xml:space="preserve"> </w:t>
      </w:r>
      <w:r w:rsidR="00053778">
        <w:rPr>
          <w:color w:val="000000" w:themeColor="text1"/>
        </w:rPr>
        <w:t xml:space="preserve">Protests should be sent to: </w:t>
      </w:r>
      <w:r w:rsidR="00011D10">
        <w:rPr>
          <w:color w:val="000000" w:themeColor="text1"/>
        </w:rPr>
        <w:tab/>
      </w:r>
    </w:p>
    <w:p w:rsidR="00195BCD" w:rsidRDefault="00195BCD" w:rsidP="00011D10">
      <w:pPr>
        <w:ind w:left="720" w:right="468" w:hanging="360"/>
        <w:rPr>
          <w:color w:val="000000" w:themeColor="text1"/>
        </w:rPr>
      </w:pPr>
    </w:p>
    <w:p w:rsidR="00195BCD" w:rsidRPr="00B63C7B" w:rsidRDefault="00195BCD" w:rsidP="00195BCD">
      <w:pPr>
        <w:ind w:left="1440" w:right="468"/>
      </w:pPr>
      <w:r w:rsidRPr="00B63C7B">
        <w:t>Administrative Office of the Courts</w:t>
      </w:r>
    </w:p>
    <w:p w:rsidR="00195BCD" w:rsidRDefault="00195BCD" w:rsidP="00195BCD">
      <w:pPr>
        <w:pStyle w:val="CommentText"/>
        <w:tabs>
          <w:tab w:val="left" w:pos="1242"/>
        </w:tabs>
        <w:ind w:left="1440" w:right="252"/>
        <w:rPr>
          <w:color w:val="000000"/>
          <w:sz w:val="24"/>
          <w:szCs w:val="24"/>
        </w:rPr>
      </w:pPr>
      <w:r w:rsidRPr="00A7178B">
        <w:rPr>
          <w:sz w:val="24"/>
          <w:szCs w:val="24"/>
        </w:rPr>
        <w:t xml:space="preserve">Attn: Nadine McFadden, </w:t>
      </w:r>
      <w:r w:rsidRPr="00744AF6">
        <w:rPr>
          <w:i/>
          <w:color w:val="000000" w:themeColor="text1"/>
          <w:sz w:val="24"/>
          <w:szCs w:val="24"/>
        </w:rPr>
        <w:t xml:space="preserve">RFP # ISD – 06192012 </w:t>
      </w:r>
      <w:r w:rsidR="00744AF6" w:rsidRPr="00744AF6">
        <w:rPr>
          <w:i/>
          <w:color w:val="000000" w:themeColor="text1"/>
          <w:sz w:val="24"/>
          <w:szCs w:val="24"/>
        </w:rPr>
        <w:t>–</w:t>
      </w:r>
      <w:r w:rsidRPr="00744AF6">
        <w:rPr>
          <w:i/>
          <w:color w:val="000000" w:themeColor="text1"/>
          <w:sz w:val="24"/>
          <w:szCs w:val="24"/>
        </w:rPr>
        <w:t xml:space="preserve"> SLO</w:t>
      </w:r>
      <w:r w:rsidR="00744AF6">
        <w:rPr>
          <w:i/>
          <w:color w:val="000000" w:themeColor="text1"/>
          <w:sz w:val="24"/>
          <w:szCs w:val="24"/>
        </w:rPr>
        <w:t>:</w:t>
      </w:r>
      <w:r w:rsidR="00744AF6" w:rsidRPr="00744AF6">
        <w:rPr>
          <w:i/>
          <w:color w:val="000000" w:themeColor="text1"/>
          <w:sz w:val="24"/>
          <w:szCs w:val="24"/>
        </w:rPr>
        <w:t xml:space="preserve"> Protest</w:t>
      </w:r>
    </w:p>
    <w:p w:rsidR="00195BCD" w:rsidRPr="00B63C7B" w:rsidRDefault="00195BCD" w:rsidP="00195BCD">
      <w:pPr>
        <w:ind w:left="1440" w:right="468"/>
      </w:pPr>
      <w:r w:rsidRPr="00B63C7B">
        <w:t>455 Golden Gate Avenue</w:t>
      </w:r>
    </w:p>
    <w:p w:rsidR="00195BCD" w:rsidRPr="00B63C7B" w:rsidRDefault="00195BCD" w:rsidP="00195BCD">
      <w:pPr>
        <w:ind w:left="1440" w:right="468"/>
      </w:pPr>
      <w:r w:rsidRPr="00A7178B">
        <w:t>San Francisco, CA  94102-3688</w:t>
      </w:r>
    </w:p>
    <w:p w:rsidR="00BB3D6A" w:rsidRDefault="00BB3D6A">
      <w:pPr>
        <w:ind w:left="720"/>
      </w:pPr>
    </w:p>
    <w:sectPr w:rsidR="00BB3D6A" w:rsidSect="006946BF">
      <w:headerReference w:type="default" r:id="rId19"/>
      <w:footerReference w:type="default" r:id="rId20"/>
      <w:pgSz w:w="12240" w:h="15840"/>
      <w:pgMar w:top="1440" w:right="1440" w:bottom="1440" w:left="1440" w:header="720" w:footer="720" w:gutter="0"/>
      <w:pgBorders w:offsetFrom="page">
        <w:bottom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A1" w:rsidRDefault="00C221A1" w:rsidP="00C37FF7">
      <w:r>
        <w:separator/>
      </w:r>
    </w:p>
  </w:endnote>
  <w:endnote w:type="continuationSeparator" w:id="0">
    <w:p w:rsidR="00C221A1" w:rsidRDefault="00C221A1"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303927"/>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C221A1" w:rsidRPr="00827B70" w:rsidRDefault="00C221A1">
            <w:pPr>
              <w:pStyle w:val="Footer"/>
              <w:jc w:val="right"/>
              <w:rPr>
                <w:sz w:val="20"/>
                <w:szCs w:val="20"/>
              </w:rPr>
            </w:pPr>
            <w:r w:rsidRPr="00827B70">
              <w:rPr>
                <w:sz w:val="20"/>
                <w:szCs w:val="20"/>
              </w:rPr>
              <w:t xml:space="preserve">Page </w:t>
            </w:r>
            <w:r w:rsidR="00217A00" w:rsidRPr="00827B70">
              <w:rPr>
                <w:sz w:val="20"/>
                <w:szCs w:val="20"/>
              </w:rPr>
              <w:fldChar w:fldCharType="begin"/>
            </w:r>
            <w:r w:rsidRPr="00827B70">
              <w:rPr>
                <w:sz w:val="20"/>
                <w:szCs w:val="20"/>
              </w:rPr>
              <w:instrText xml:space="preserve"> PAGE </w:instrText>
            </w:r>
            <w:r w:rsidR="00217A00" w:rsidRPr="00827B70">
              <w:rPr>
                <w:sz w:val="20"/>
                <w:szCs w:val="20"/>
              </w:rPr>
              <w:fldChar w:fldCharType="separate"/>
            </w:r>
            <w:r w:rsidR="004F0101">
              <w:rPr>
                <w:noProof/>
                <w:sz w:val="20"/>
                <w:szCs w:val="20"/>
              </w:rPr>
              <w:t>14</w:t>
            </w:r>
            <w:r w:rsidR="00217A00" w:rsidRPr="00827B70">
              <w:rPr>
                <w:sz w:val="20"/>
                <w:szCs w:val="20"/>
              </w:rPr>
              <w:fldChar w:fldCharType="end"/>
            </w:r>
            <w:r w:rsidRPr="00827B70">
              <w:rPr>
                <w:sz w:val="20"/>
                <w:szCs w:val="20"/>
              </w:rPr>
              <w:t xml:space="preserve"> of </w:t>
            </w:r>
            <w:r w:rsidR="00217A00" w:rsidRPr="00827B70">
              <w:rPr>
                <w:sz w:val="20"/>
                <w:szCs w:val="20"/>
              </w:rPr>
              <w:fldChar w:fldCharType="begin"/>
            </w:r>
            <w:r w:rsidRPr="00827B70">
              <w:rPr>
                <w:sz w:val="20"/>
                <w:szCs w:val="20"/>
              </w:rPr>
              <w:instrText xml:space="preserve"> NUMPAGES  </w:instrText>
            </w:r>
            <w:r w:rsidR="00217A00" w:rsidRPr="00827B70">
              <w:rPr>
                <w:sz w:val="20"/>
                <w:szCs w:val="20"/>
              </w:rPr>
              <w:fldChar w:fldCharType="separate"/>
            </w:r>
            <w:r w:rsidR="004F0101">
              <w:rPr>
                <w:noProof/>
                <w:sz w:val="20"/>
                <w:szCs w:val="20"/>
              </w:rPr>
              <w:t>20</w:t>
            </w:r>
            <w:r w:rsidR="00217A00" w:rsidRPr="00827B70">
              <w:rPr>
                <w:sz w:val="20"/>
                <w:szCs w:val="20"/>
              </w:rPr>
              <w:fldChar w:fldCharType="end"/>
            </w:r>
          </w:p>
        </w:sdtContent>
      </w:sdt>
    </w:sdtContent>
  </w:sdt>
  <w:p w:rsidR="00C221A1" w:rsidRDefault="00C22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A1" w:rsidRDefault="00C221A1" w:rsidP="00C37FF7">
      <w:r>
        <w:separator/>
      </w:r>
    </w:p>
  </w:footnote>
  <w:footnote w:type="continuationSeparator" w:id="0">
    <w:p w:rsidR="00C221A1" w:rsidRDefault="00C221A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A1" w:rsidRPr="00827B70" w:rsidRDefault="000C62D2" w:rsidP="00C37FF7">
    <w:pPr>
      <w:pStyle w:val="CommentText"/>
      <w:tabs>
        <w:tab w:val="left" w:pos="1242"/>
      </w:tabs>
      <w:ind w:right="252"/>
      <w:jc w:val="both"/>
      <w:rPr>
        <w:color w:val="000000" w:themeColor="text1"/>
        <w:sz w:val="22"/>
        <w:szCs w:val="22"/>
      </w:rPr>
    </w:pPr>
    <w:r>
      <w:rPr>
        <w:i/>
        <w:color w:val="000000" w:themeColor="text1"/>
        <w:sz w:val="22"/>
        <w:szCs w:val="22"/>
      </w:rPr>
      <w:t xml:space="preserve">Project Title: </w:t>
    </w:r>
    <w:r w:rsidR="00C221A1" w:rsidRPr="00827B70">
      <w:rPr>
        <w:i/>
        <w:color w:val="000000" w:themeColor="text1"/>
        <w:sz w:val="22"/>
        <w:szCs w:val="22"/>
      </w:rPr>
      <w:t>San Luis Obispo Case Management System Replacement</w:t>
    </w:r>
  </w:p>
  <w:p w:rsidR="00C221A1" w:rsidRPr="00827B70" w:rsidRDefault="00C221A1" w:rsidP="00C37FF7">
    <w:pPr>
      <w:pStyle w:val="CommentText"/>
      <w:tabs>
        <w:tab w:val="left" w:pos="1242"/>
      </w:tabs>
      <w:ind w:right="252"/>
      <w:jc w:val="both"/>
      <w:rPr>
        <w:color w:val="000000" w:themeColor="text1"/>
        <w:sz w:val="22"/>
        <w:szCs w:val="22"/>
      </w:rPr>
    </w:pPr>
    <w:r w:rsidRPr="00827B70">
      <w:rPr>
        <w:i/>
        <w:color w:val="000000" w:themeColor="text1"/>
        <w:sz w:val="22"/>
        <w:szCs w:val="22"/>
      </w:rPr>
      <w:t>RFP#</w:t>
    </w:r>
    <w:r w:rsidR="000C62D2">
      <w:rPr>
        <w:i/>
        <w:color w:val="000000" w:themeColor="text1"/>
        <w:sz w:val="22"/>
        <w:szCs w:val="22"/>
      </w:rPr>
      <w:t>:</w:t>
    </w:r>
    <w:r w:rsidRPr="00827B70">
      <w:rPr>
        <w:i/>
        <w:color w:val="000000" w:themeColor="text1"/>
        <w:sz w:val="22"/>
        <w:szCs w:val="22"/>
      </w:rPr>
      <w:t xml:space="preserve"> ISD – 06192012 - SLO</w:t>
    </w:r>
  </w:p>
  <w:p w:rsidR="00C221A1" w:rsidRDefault="00C22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93"/>
    <w:multiLevelType w:val="hybridMultilevel"/>
    <w:tmpl w:val="6128B6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7CC94CA">
      <w:numFmt w:val="bullet"/>
      <w:lvlText w:val=""/>
      <w:lvlJc w:val="left"/>
      <w:pPr>
        <w:tabs>
          <w:tab w:val="num" w:pos="1800"/>
        </w:tabs>
        <w:ind w:left="1800" w:hanging="360"/>
      </w:pPr>
      <w:rPr>
        <w:rFonts w:ascii="Wingdings" w:eastAsia="Times New Roman" w:hAnsi="Wingdings"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B93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D77BE3"/>
    <w:multiLevelType w:val="hybridMultilevel"/>
    <w:tmpl w:val="156891AC"/>
    <w:lvl w:ilvl="0" w:tplc="04090003">
      <w:start w:val="1"/>
      <w:numFmt w:val="bullet"/>
      <w:lvlText w:val="o"/>
      <w:lvlJc w:val="left"/>
      <w:pPr>
        <w:ind w:left="720" w:hanging="360"/>
      </w:pPr>
      <w:rPr>
        <w:rFonts w:ascii="Courier New" w:hAnsi="Courier New" w:cs="Courier New" w:hint="default"/>
      </w:rPr>
    </w:lvl>
    <w:lvl w:ilvl="1" w:tplc="535A0E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8FE19A3"/>
    <w:multiLevelType w:val="multilevel"/>
    <w:tmpl w:val="5BA4F5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00442D"/>
    <w:multiLevelType w:val="hybridMultilevel"/>
    <w:tmpl w:val="028E6C28"/>
    <w:lvl w:ilvl="0" w:tplc="B7DC062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3591B"/>
    <w:multiLevelType w:val="hybridMultilevel"/>
    <w:tmpl w:val="41C23B5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A6367"/>
    <w:multiLevelType w:val="hybridMultilevel"/>
    <w:tmpl w:val="FF6A313A"/>
    <w:lvl w:ilvl="0" w:tplc="2F646DF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C970D03"/>
    <w:multiLevelType w:val="hybridMultilevel"/>
    <w:tmpl w:val="AD2625B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ED02318"/>
    <w:multiLevelType w:val="hybridMultilevel"/>
    <w:tmpl w:val="19EE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BCF30EF"/>
    <w:multiLevelType w:val="hybridMultilevel"/>
    <w:tmpl w:val="099A9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7E3445"/>
    <w:multiLevelType w:val="hybridMultilevel"/>
    <w:tmpl w:val="E5C8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9616048"/>
    <w:multiLevelType w:val="hybridMultilevel"/>
    <w:tmpl w:val="7B8AF89A"/>
    <w:lvl w:ilvl="0" w:tplc="7BB42F7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717BD"/>
    <w:multiLevelType w:val="hybridMultilevel"/>
    <w:tmpl w:val="AC8867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4F8F67F5"/>
    <w:multiLevelType w:val="hybridMultilevel"/>
    <w:tmpl w:val="D444B466"/>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3">
    <w:nsid w:val="4FA07CAB"/>
    <w:multiLevelType w:val="multilevel"/>
    <w:tmpl w:val="0330A9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8">
    <w:nsid w:val="61B10C90"/>
    <w:multiLevelType w:val="hybridMultilevel"/>
    <w:tmpl w:val="2B604B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1">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BC146E"/>
    <w:multiLevelType w:val="hybridMultilevel"/>
    <w:tmpl w:val="D9EA5EA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6A7B2BDE"/>
    <w:multiLevelType w:val="hybridMultilevel"/>
    <w:tmpl w:val="A4DE5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BEA48E4"/>
    <w:multiLevelType w:val="multilevel"/>
    <w:tmpl w:val="75800CC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CF254AB"/>
    <w:multiLevelType w:val="hybridMultilevel"/>
    <w:tmpl w:val="F1D06A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184379C"/>
    <w:multiLevelType w:val="multilevel"/>
    <w:tmpl w:val="75800CC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1A64D94"/>
    <w:multiLevelType w:val="hybridMultilevel"/>
    <w:tmpl w:val="F42CF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1C0179E"/>
    <w:multiLevelType w:val="hybridMultilevel"/>
    <w:tmpl w:val="6228F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72523A3"/>
    <w:multiLevelType w:val="hybridMultilevel"/>
    <w:tmpl w:val="964EB65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7FA5433C"/>
    <w:multiLevelType w:val="hybridMultilevel"/>
    <w:tmpl w:val="2142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28"/>
  </w:num>
  <w:num w:numId="3">
    <w:abstractNumId w:val="25"/>
  </w:num>
  <w:num w:numId="4">
    <w:abstractNumId w:val="36"/>
  </w:num>
  <w:num w:numId="5">
    <w:abstractNumId w:val="3"/>
  </w:num>
  <w:num w:numId="6">
    <w:abstractNumId w:val="37"/>
  </w:num>
  <w:num w:numId="7">
    <w:abstractNumId w:val="21"/>
  </w:num>
  <w:num w:numId="8">
    <w:abstractNumId w:val="15"/>
  </w:num>
  <w:num w:numId="9">
    <w:abstractNumId w:val="17"/>
  </w:num>
  <w:num w:numId="10">
    <w:abstractNumId w:val="41"/>
  </w:num>
  <w:num w:numId="11">
    <w:abstractNumId w:val="29"/>
  </w:num>
  <w:num w:numId="12">
    <w:abstractNumId w:val="35"/>
  </w:num>
  <w:num w:numId="13">
    <w:abstractNumId w:val="33"/>
  </w:num>
  <w:num w:numId="14">
    <w:abstractNumId w:val="1"/>
  </w:num>
  <w:num w:numId="15">
    <w:abstractNumId w:val="10"/>
  </w:num>
  <w:num w:numId="16">
    <w:abstractNumId w:val="18"/>
  </w:num>
  <w:num w:numId="17">
    <w:abstractNumId w:val="50"/>
  </w:num>
  <w:num w:numId="18">
    <w:abstractNumId w:val="38"/>
  </w:num>
  <w:num w:numId="19">
    <w:abstractNumId w:val="42"/>
  </w:num>
  <w:num w:numId="20">
    <w:abstractNumId w:val="48"/>
  </w:num>
  <w:num w:numId="21">
    <w:abstractNumId w:val="34"/>
  </w:num>
  <w:num w:numId="22">
    <w:abstractNumId w:val="6"/>
  </w:num>
  <w:num w:numId="23">
    <w:abstractNumId w:val="24"/>
  </w:num>
  <w:num w:numId="24">
    <w:abstractNumId w:val="13"/>
  </w:num>
  <w:num w:numId="25">
    <w:abstractNumId w:val="30"/>
  </w:num>
  <w:num w:numId="26">
    <w:abstractNumId w:val="31"/>
  </w:num>
  <w:num w:numId="27">
    <w:abstractNumId w:val="12"/>
  </w:num>
  <w:num w:numId="28">
    <w:abstractNumId w:val="45"/>
  </w:num>
  <w:num w:numId="29">
    <w:abstractNumId w:val="39"/>
  </w:num>
  <w:num w:numId="30">
    <w:abstractNumId w:val="53"/>
  </w:num>
  <w:num w:numId="31">
    <w:abstractNumId w:val="14"/>
  </w:num>
  <w:num w:numId="32">
    <w:abstractNumId w:val="22"/>
  </w:num>
  <w:num w:numId="33">
    <w:abstractNumId w:val="9"/>
  </w:num>
  <w:num w:numId="34">
    <w:abstractNumId w:val="7"/>
  </w:num>
  <w:num w:numId="35">
    <w:abstractNumId w:val="43"/>
  </w:num>
  <w:num w:numId="36">
    <w:abstractNumId w:val="23"/>
  </w:num>
  <w:num w:numId="37">
    <w:abstractNumId w:val="0"/>
  </w:num>
  <w:num w:numId="38">
    <w:abstractNumId w:val="16"/>
  </w:num>
  <w:num w:numId="39">
    <w:abstractNumId w:val="52"/>
  </w:num>
  <w:num w:numId="40">
    <w:abstractNumId w:val="11"/>
  </w:num>
  <w:num w:numId="41">
    <w:abstractNumId w:val="26"/>
  </w:num>
  <w:num w:numId="42">
    <w:abstractNumId w:val="27"/>
  </w:num>
  <w:num w:numId="43">
    <w:abstractNumId w:val="49"/>
  </w:num>
  <w:num w:numId="44">
    <w:abstractNumId w:val="20"/>
  </w:num>
  <w:num w:numId="45">
    <w:abstractNumId w:val="32"/>
  </w:num>
  <w:num w:numId="46">
    <w:abstractNumId w:val="4"/>
  </w:num>
  <w:num w:numId="47">
    <w:abstractNumId w:val="46"/>
  </w:num>
  <w:num w:numId="48">
    <w:abstractNumId w:val="47"/>
  </w:num>
  <w:num w:numId="49">
    <w:abstractNumId w:val="44"/>
  </w:num>
  <w:num w:numId="50">
    <w:abstractNumId w:val="2"/>
  </w:num>
  <w:num w:numId="51">
    <w:abstractNumId w:val="8"/>
  </w:num>
  <w:num w:numId="52">
    <w:abstractNumId w:val="5"/>
  </w:num>
  <w:num w:numId="53">
    <w:abstractNumId w:val="51"/>
  </w:num>
  <w:num w:numId="54">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C37FF7"/>
    <w:rsid w:val="0000270A"/>
    <w:rsid w:val="00002723"/>
    <w:rsid w:val="00011D10"/>
    <w:rsid w:val="00013C42"/>
    <w:rsid w:val="00020D77"/>
    <w:rsid w:val="00020DD8"/>
    <w:rsid w:val="00022897"/>
    <w:rsid w:val="0002344F"/>
    <w:rsid w:val="00023B38"/>
    <w:rsid w:val="00033354"/>
    <w:rsid w:val="000356BE"/>
    <w:rsid w:val="000368F5"/>
    <w:rsid w:val="000414E2"/>
    <w:rsid w:val="00042510"/>
    <w:rsid w:val="000438B4"/>
    <w:rsid w:val="00050FB6"/>
    <w:rsid w:val="000518CD"/>
    <w:rsid w:val="00053778"/>
    <w:rsid w:val="00054ECA"/>
    <w:rsid w:val="00070FCA"/>
    <w:rsid w:val="00072049"/>
    <w:rsid w:val="00077260"/>
    <w:rsid w:val="00080391"/>
    <w:rsid w:val="000811C9"/>
    <w:rsid w:val="00082230"/>
    <w:rsid w:val="0008623D"/>
    <w:rsid w:val="000906D4"/>
    <w:rsid w:val="0009082E"/>
    <w:rsid w:val="000951EB"/>
    <w:rsid w:val="000969C7"/>
    <w:rsid w:val="000A399B"/>
    <w:rsid w:val="000B0813"/>
    <w:rsid w:val="000B2729"/>
    <w:rsid w:val="000B3176"/>
    <w:rsid w:val="000B4832"/>
    <w:rsid w:val="000B69DB"/>
    <w:rsid w:val="000B75F4"/>
    <w:rsid w:val="000C1148"/>
    <w:rsid w:val="000C5E3A"/>
    <w:rsid w:val="000C5FD1"/>
    <w:rsid w:val="000C62D2"/>
    <w:rsid w:val="000D2328"/>
    <w:rsid w:val="000D43CC"/>
    <w:rsid w:val="000D4C75"/>
    <w:rsid w:val="000D5FD6"/>
    <w:rsid w:val="000E14BB"/>
    <w:rsid w:val="000F3C6B"/>
    <w:rsid w:val="000F41C2"/>
    <w:rsid w:val="00101C48"/>
    <w:rsid w:val="0010209E"/>
    <w:rsid w:val="00105FDC"/>
    <w:rsid w:val="00106A01"/>
    <w:rsid w:val="001078BB"/>
    <w:rsid w:val="0011091F"/>
    <w:rsid w:val="00112FA9"/>
    <w:rsid w:val="00114088"/>
    <w:rsid w:val="00117F17"/>
    <w:rsid w:val="00121AB5"/>
    <w:rsid w:val="00122B6C"/>
    <w:rsid w:val="001244EC"/>
    <w:rsid w:val="0012621F"/>
    <w:rsid w:val="001303B1"/>
    <w:rsid w:val="00130AE7"/>
    <w:rsid w:val="0013260F"/>
    <w:rsid w:val="00132B61"/>
    <w:rsid w:val="00133F5A"/>
    <w:rsid w:val="00141D56"/>
    <w:rsid w:val="00142C87"/>
    <w:rsid w:val="0014311A"/>
    <w:rsid w:val="00143D24"/>
    <w:rsid w:val="00144BD4"/>
    <w:rsid w:val="0014722C"/>
    <w:rsid w:val="00151748"/>
    <w:rsid w:val="00152A24"/>
    <w:rsid w:val="00155093"/>
    <w:rsid w:val="001564A5"/>
    <w:rsid w:val="00157C5E"/>
    <w:rsid w:val="00157C69"/>
    <w:rsid w:val="00160E9F"/>
    <w:rsid w:val="00162D4D"/>
    <w:rsid w:val="0016315B"/>
    <w:rsid w:val="00165681"/>
    <w:rsid w:val="00165A62"/>
    <w:rsid w:val="00166197"/>
    <w:rsid w:val="00170DC4"/>
    <w:rsid w:val="0017264B"/>
    <w:rsid w:val="00173CFE"/>
    <w:rsid w:val="00181378"/>
    <w:rsid w:val="00181FDA"/>
    <w:rsid w:val="0018567A"/>
    <w:rsid w:val="0019276F"/>
    <w:rsid w:val="0019568B"/>
    <w:rsid w:val="00195BCD"/>
    <w:rsid w:val="00196268"/>
    <w:rsid w:val="001974E1"/>
    <w:rsid w:val="001A3573"/>
    <w:rsid w:val="001A4FCB"/>
    <w:rsid w:val="001B29F7"/>
    <w:rsid w:val="001C39E5"/>
    <w:rsid w:val="001C717C"/>
    <w:rsid w:val="001D3256"/>
    <w:rsid w:val="001D3870"/>
    <w:rsid w:val="001E0148"/>
    <w:rsid w:val="001E0F02"/>
    <w:rsid w:val="001E1555"/>
    <w:rsid w:val="001E612A"/>
    <w:rsid w:val="001F08EB"/>
    <w:rsid w:val="001F2657"/>
    <w:rsid w:val="0020192C"/>
    <w:rsid w:val="00201D27"/>
    <w:rsid w:val="00204B2E"/>
    <w:rsid w:val="0020611A"/>
    <w:rsid w:val="00206DAA"/>
    <w:rsid w:val="0020724B"/>
    <w:rsid w:val="002102F5"/>
    <w:rsid w:val="00217A00"/>
    <w:rsid w:val="002209B1"/>
    <w:rsid w:val="0022207C"/>
    <w:rsid w:val="00222963"/>
    <w:rsid w:val="002251AF"/>
    <w:rsid w:val="00226D67"/>
    <w:rsid w:val="00226FDB"/>
    <w:rsid w:val="00227F66"/>
    <w:rsid w:val="00230D5C"/>
    <w:rsid w:val="00233D32"/>
    <w:rsid w:val="00242EF2"/>
    <w:rsid w:val="00243576"/>
    <w:rsid w:val="002445B6"/>
    <w:rsid w:val="00246470"/>
    <w:rsid w:val="00251CC8"/>
    <w:rsid w:val="00253633"/>
    <w:rsid w:val="00253E0F"/>
    <w:rsid w:val="00255E2E"/>
    <w:rsid w:val="002622C4"/>
    <w:rsid w:val="00262320"/>
    <w:rsid w:val="002635C7"/>
    <w:rsid w:val="00263FC8"/>
    <w:rsid w:val="00265B1E"/>
    <w:rsid w:val="00267FBE"/>
    <w:rsid w:val="0027728C"/>
    <w:rsid w:val="00282212"/>
    <w:rsid w:val="00283820"/>
    <w:rsid w:val="00287B08"/>
    <w:rsid w:val="0029196A"/>
    <w:rsid w:val="00292053"/>
    <w:rsid w:val="002929B5"/>
    <w:rsid w:val="00294D90"/>
    <w:rsid w:val="002A3839"/>
    <w:rsid w:val="002A6AA7"/>
    <w:rsid w:val="002B2B18"/>
    <w:rsid w:val="002C3530"/>
    <w:rsid w:val="002C64BD"/>
    <w:rsid w:val="002C6A8B"/>
    <w:rsid w:val="002D07F1"/>
    <w:rsid w:val="002E2005"/>
    <w:rsid w:val="002E543F"/>
    <w:rsid w:val="002E7965"/>
    <w:rsid w:val="002F15EA"/>
    <w:rsid w:val="002F20FE"/>
    <w:rsid w:val="003020A2"/>
    <w:rsid w:val="00307203"/>
    <w:rsid w:val="0031272D"/>
    <w:rsid w:val="003132F7"/>
    <w:rsid w:val="00316932"/>
    <w:rsid w:val="0031771E"/>
    <w:rsid w:val="00317CD0"/>
    <w:rsid w:val="0032125D"/>
    <w:rsid w:val="00323F35"/>
    <w:rsid w:val="003245B4"/>
    <w:rsid w:val="003252B9"/>
    <w:rsid w:val="00325BBE"/>
    <w:rsid w:val="00327099"/>
    <w:rsid w:val="0032785B"/>
    <w:rsid w:val="00327A6E"/>
    <w:rsid w:val="00327CD5"/>
    <w:rsid w:val="00331367"/>
    <w:rsid w:val="00333A7A"/>
    <w:rsid w:val="0033590C"/>
    <w:rsid w:val="00335DFC"/>
    <w:rsid w:val="003364C3"/>
    <w:rsid w:val="00336ABC"/>
    <w:rsid w:val="00341638"/>
    <w:rsid w:val="003461EB"/>
    <w:rsid w:val="00350C7C"/>
    <w:rsid w:val="00352BBD"/>
    <w:rsid w:val="00354E80"/>
    <w:rsid w:val="00357DBC"/>
    <w:rsid w:val="00357F28"/>
    <w:rsid w:val="00360AEE"/>
    <w:rsid w:val="0036121D"/>
    <w:rsid w:val="00365906"/>
    <w:rsid w:val="00366C0C"/>
    <w:rsid w:val="003670B6"/>
    <w:rsid w:val="00372645"/>
    <w:rsid w:val="00374261"/>
    <w:rsid w:val="00380B7B"/>
    <w:rsid w:val="00380CE5"/>
    <w:rsid w:val="00382173"/>
    <w:rsid w:val="00385E0C"/>
    <w:rsid w:val="003867AB"/>
    <w:rsid w:val="00387389"/>
    <w:rsid w:val="00395983"/>
    <w:rsid w:val="00395B94"/>
    <w:rsid w:val="0039604F"/>
    <w:rsid w:val="0039627B"/>
    <w:rsid w:val="00396387"/>
    <w:rsid w:val="003965E4"/>
    <w:rsid w:val="00396D3C"/>
    <w:rsid w:val="003A35AB"/>
    <w:rsid w:val="003A4D99"/>
    <w:rsid w:val="003B268E"/>
    <w:rsid w:val="003B38AE"/>
    <w:rsid w:val="003C14B3"/>
    <w:rsid w:val="003C249E"/>
    <w:rsid w:val="003C265C"/>
    <w:rsid w:val="003C6768"/>
    <w:rsid w:val="003D4237"/>
    <w:rsid w:val="003D5784"/>
    <w:rsid w:val="003E46FF"/>
    <w:rsid w:val="003E5035"/>
    <w:rsid w:val="003E6086"/>
    <w:rsid w:val="003F03AE"/>
    <w:rsid w:val="003F3281"/>
    <w:rsid w:val="003F7762"/>
    <w:rsid w:val="004002A8"/>
    <w:rsid w:val="00400CA2"/>
    <w:rsid w:val="00400EC1"/>
    <w:rsid w:val="00401F22"/>
    <w:rsid w:val="0040363F"/>
    <w:rsid w:val="00410040"/>
    <w:rsid w:val="004102AA"/>
    <w:rsid w:val="00415DEC"/>
    <w:rsid w:val="00417AB3"/>
    <w:rsid w:val="00417B66"/>
    <w:rsid w:val="00422A0E"/>
    <w:rsid w:val="00423958"/>
    <w:rsid w:val="00426637"/>
    <w:rsid w:val="004278C3"/>
    <w:rsid w:val="0042790F"/>
    <w:rsid w:val="00432F17"/>
    <w:rsid w:val="004378AE"/>
    <w:rsid w:val="0044047E"/>
    <w:rsid w:val="004425FB"/>
    <w:rsid w:val="00443EC5"/>
    <w:rsid w:val="00454E81"/>
    <w:rsid w:val="004611BA"/>
    <w:rsid w:val="00461C14"/>
    <w:rsid w:val="00466988"/>
    <w:rsid w:val="00477F71"/>
    <w:rsid w:val="004812BB"/>
    <w:rsid w:val="004824F0"/>
    <w:rsid w:val="0048308E"/>
    <w:rsid w:val="00490EC6"/>
    <w:rsid w:val="004913AB"/>
    <w:rsid w:val="00491E17"/>
    <w:rsid w:val="00494EC2"/>
    <w:rsid w:val="004960BA"/>
    <w:rsid w:val="004A1FC2"/>
    <w:rsid w:val="004A2751"/>
    <w:rsid w:val="004A337A"/>
    <w:rsid w:val="004B3068"/>
    <w:rsid w:val="004B38F7"/>
    <w:rsid w:val="004B3DB3"/>
    <w:rsid w:val="004C3178"/>
    <w:rsid w:val="004C6FAF"/>
    <w:rsid w:val="004C7D73"/>
    <w:rsid w:val="004D0D8E"/>
    <w:rsid w:val="004D4CA4"/>
    <w:rsid w:val="004E0B0B"/>
    <w:rsid w:val="004E5AD1"/>
    <w:rsid w:val="004E6603"/>
    <w:rsid w:val="004E669D"/>
    <w:rsid w:val="004E71DD"/>
    <w:rsid w:val="004E7916"/>
    <w:rsid w:val="004F0101"/>
    <w:rsid w:val="004F4E91"/>
    <w:rsid w:val="005007B8"/>
    <w:rsid w:val="00501FF0"/>
    <w:rsid w:val="00510171"/>
    <w:rsid w:val="005112C3"/>
    <w:rsid w:val="00512928"/>
    <w:rsid w:val="00512CCE"/>
    <w:rsid w:val="00515EBE"/>
    <w:rsid w:val="00516ECC"/>
    <w:rsid w:val="00516FE9"/>
    <w:rsid w:val="00523072"/>
    <w:rsid w:val="00523A05"/>
    <w:rsid w:val="005267C2"/>
    <w:rsid w:val="00531D6E"/>
    <w:rsid w:val="00532899"/>
    <w:rsid w:val="0053549A"/>
    <w:rsid w:val="00540897"/>
    <w:rsid w:val="00541FA5"/>
    <w:rsid w:val="00543187"/>
    <w:rsid w:val="00544E81"/>
    <w:rsid w:val="005466CF"/>
    <w:rsid w:val="005561F6"/>
    <w:rsid w:val="00563055"/>
    <w:rsid w:val="00573078"/>
    <w:rsid w:val="0057317D"/>
    <w:rsid w:val="00574253"/>
    <w:rsid w:val="00577B5D"/>
    <w:rsid w:val="00580047"/>
    <w:rsid w:val="005844B9"/>
    <w:rsid w:val="005846F1"/>
    <w:rsid w:val="00585138"/>
    <w:rsid w:val="005856C3"/>
    <w:rsid w:val="005915C8"/>
    <w:rsid w:val="00591BFA"/>
    <w:rsid w:val="005946B6"/>
    <w:rsid w:val="00595811"/>
    <w:rsid w:val="00595822"/>
    <w:rsid w:val="00597C4A"/>
    <w:rsid w:val="005A2231"/>
    <w:rsid w:val="005A34B0"/>
    <w:rsid w:val="005B04DF"/>
    <w:rsid w:val="005C20E0"/>
    <w:rsid w:val="005C26C2"/>
    <w:rsid w:val="005C69D5"/>
    <w:rsid w:val="005D39EB"/>
    <w:rsid w:val="005E0C07"/>
    <w:rsid w:val="005E223D"/>
    <w:rsid w:val="005E2B59"/>
    <w:rsid w:val="005F3B8C"/>
    <w:rsid w:val="005F3F8D"/>
    <w:rsid w:val="005F597D"/>
    <w:rsid w:val="005F5C25"/>
    <w:rsid w:val="005F6E88"/>
    <w:rsid w:val="006121D0"/>
    <w:rsid w:val="006156C7"/>
    <w:rsid w:val="0061723D"/>
    <w:rsid w:val="00621D36"/>
    <w:rsid w:val="006230B7"/>
    <w:rsid w:val="00624AEA"/>
    <w:rsid w:val="00626AC2"/>
    <w:rsid w:val="00626B27"/>
    <w:rsid w:val="00630623"/>
    <w:rsid w:val="006308E7"/>
    <w:rsid w:val="006310A1"/>
    <w:rsid w:val="00633FAB"/>
    <w:rsid w:val="00640DD7"/>
    <w:rsid w:val="00646261"/>
    <w:rsid w:val="00651E8D"/>
    <w:rsid w:val="00652F20"/>
    <w:rsid w:val="006537F3"/>
    <w:rsid w:val="00654F0D"/>
    <w:rsid w:val="006562BF"/>
    <w:rsid w:val="00656AC5"/>
    <w:rsid w:val="00656FCE"/>
    <w:rsid w:val="00657EA4"/>
    <w:rsid w:val="00660B86"/>
    <w:rsid w:val="00662A31"/>
    <w:rsid w:val="00667B3D"/>
    <w:rsid w:val="00667DAD"/>
    <w:rsid w:val="00673768"/>
    <w:rsid w:val="00675C38"/>
    <w:rsid w:val="006822FA"/>
    <w:rsid w:val="0068288F"/>
    <w:rsid w:val="00685EB2"/>
    <w:rsid w:val="00686F6C"/>
    <w:rsid w:val="0069286B"/>
    <w:rsid w:val="00692CDD"/>
    <w:rsid w:val="006946BF"/>
    <w:rsid w:val="0069500D"/>
    <w:rsid w:val="006A36A9"/>
    <w:rsid w:val="006A5EAB"/>
    <w:rsid w:val="006B572B"/>
    <w:rsid w:val="006C1939"/>
    <w:rsid w:val="006C384C"/>
    <w:rsid w:val="006D02BE"/>
    <w:rsid w:val="006D4E57"/>
    <w:rsid w:val="006D6621"/>
    <w:rsid w:val="006D6F0B"/>
    <w:rsid w:val="006D7BC0"/>
    <w:rsid w:val="006E1F73"/>
    <w:rsid w:val="006E24D0"/>
    <w:rsid w:val="006E36DB"/>
    <w:rsid w:val="006E3C80"/>
    <w:rsid w:val="006E47CE"/>
    <w:rsid w:val="006E5EA6"/>
    <w:rsid w:val="006F0B7C"/>
    <w:rsid w:val="006F120C"/>
    <w:rsid w:val="006F1896"/>
    <w:rsid w:val="006F3E8E"/>
    <w:rsid w:val="006F6D6E"/>
    <w:rsid w:val="006F7E07"/>
    <w:rsid w:val="00700BFA"/>
    <w:rsid w:val="007017D2"/>
    <w:rsid w:val="007064DF"/>
    <w:rsid w:val="00712588"/>
    <w:rsid w:val="007130B5"/>
    <w:rsid w:val="007207BC"/>
    <w:rsid w:val="0072371D"/>
    <w:rsid w:val="007276C2"/>
    <w:rsid w:val="0073034B"/>
    <w:rsid w:val="00731701"/>
    <w:rsid w:val="007328D8"/>
    <w:rsid w:val="00735393"/>
    <w:rsid w:val="00735F39"/>
    <w:rsid w:val="00742621"/>
    <w:rsid w:val="00743405"/>
    <w:rsid w:val="007441FC"/>
    <w:rsid w:val="00744AF6"/>
    <w:rsid w:val="00744ED2"/>
    <w:rsid w:val="007464F2"/>
    <w:rsid w:val="00746AC7"/>
    <w:rsid w:val="00750CB7"/>
    <w:rsid w:val="0075282D"/>
    <w:rsid w:val="0075335D"/>
    <w:rsid w:val="00753F60"/>
    <w:rsid w:val="00756384"/>
    <w:rsid w:val="00760BB4"/>
    <w:rsid w:val="00760D55"/>
    <w:rsid w:val="00764EF2"/>
    <w:rsid w:val="00765250"/>
    <w:rsid w:val="00773B85"/>
    <w:rsid w:val="00775F2B"/>
    <w:rsid w:val="00776870"/>
    <w:rsid w:val="00780268"/>
    <w:rsid w:val="00780E74"/>
    <w:rsid w:val="007820E6"/>
    <w:rsid w:val="00782756"/>
    <w:rsid w:val="00782800"/>
    <w:rsid w:val="00783E2D"/>
    <w:rsid w:val="0078632F"/>
    <w:rsid w:val="007918EA"/>
    <w:rsid w:val="00792144"/>
    <w:rsid w:val="00793449"/>
    <w:rsid w:val="007954AF"/>
    <w:rsid w:val="00795804"/>
    <w:rsid w:val="00796790"/>
    <w:rsid w:val="007A0851"/>
    <w:rsid w:val="007A3FA7"/>
    <w:rsid w:val="007A4E13"/>
    <w:rsid w:val="007A6DF1"/>
    <w:rsid w:val="007A7C95"/>
    <w:rsid w:val="007B0E96"/>
    <w:rsid w:val="007B422C"/>
    <w:rsid w:val="007B7AC8"/>
    <w:rsid w:val="007C41DF"/>
    <w:rsid w:val="007C4712"/>
    <w:rsid w:val="007C5544"/>
    <w:rsid w:val="007C5D81"/>
    <w:rsid w:val="007D4E2F"/>
    <w:rsid w:val="007F30C7"/>
    <w:rsid w:val="007F677A"/>
    <w:rsid w:val="007F71EA"/>
    <w:rsid w:val="00800533"/>
    <w:rsid w:val="0080223B"/>
    <w:rsid w:val="0080611E"/>
    <w:rsid w:val="00806692"/>
    <w:rsid w:val="008108FA"/>
    <w:rsid w:val="00810DCC"/>
    <w:rsid w:val="00811D36"/>
    <w:rsid w:val="00813057"/>
    <w:rsid w:val="00825556"/>
    <w:rsid w:val="00825BC4"/>
    <w:rsid w:val="00826D87"/>
    <w:rsid w:val="00827B70"/>
    <w:rsid w:val="008325AB"/>
    <w:rsid w:val="00832E82"/>
    <w:rsid w:val="00843DB3"/>
    <w:rsid w:val="0084586E"/>
    <w:rsid w:val="008465EC"/>
    <w:rsid w:val="00847629"/>
    <w:rsid w:val="00850992"/>
    <w:rsid w:val="00855F17"/>
    <w:rsid w:val="00857C9A"/>
    <w:rsid w:val="0086283F"/>
    <w:rsid w:val="008651EB"/>
    <w:rsid w:val="008661CD"/>
    <w:rsid w:val="00881018"/>
    <w:rsid w:val="0088206E"/>
    <w:rsid w:val="00883CCF"/>
    <w:rsid w:val="00884379"/>
    <w:rsid w:val="00885316"/>
    <w:rsid w:val="00885A31"/>
    <w:rsid w:val="00891AD6"/>
    <w:rsid w:val="00893499"/>
    <w:rsid w:val="00893C52"/>
    <w:rsid w:val="00893CA0"/>
    <w:rsid w:val="00894FF2"/>
    <w:rsid w:val="00896521"/>
    <w:rsid w:val="008A65AE"/>
    <w:rsid w:val="008A6ABE"/>
    <w:rsid w:val="008B03B6"/>
    <w:rsid w:val="008B20CD"/>
    <w:rsid w:val="008B3420"/>
    <w:rsid w:val="008B50E8"/>
    <w:rsid w:val="008B70B1"/>
    <w:rsid w:val="008C0635"/>
    <w:rsid w:val="008C0ECF"/>
    <w:rsid w:val="008C0F02"/>
    <w:rsid w:val="008C16A4"/>
    <w:rsid w:val="008D5785"/>
    <w:rsid w:val="008D745B"/>
    <w:rsid w:val="008E3099"/>
    <w:rsid w:val="008F0F4E"/>
    <w:rsid w:val="008F4950"/>
    <w:rsid w:val="009003C6"/>
    <w:rsid w:val="0090247B"/>
    <w:rsid w:val="00902769"/>
    <w:rsid w:val="009045C0"/>
    <w:rsid w:val="00914A4E"/>
    <w:rsid w:val="00914D25"/>
    <w:rsid w:val="00915688"/>
    <w:rsid w:val="009211B9"/>
    <w:rsid w:val="009223FC"/>
    <w:rsid w:val="0092377C"/>
    <w:rsid w:val="00926232"/>
    <w:rsid w:val="009317B7"/>
    <w:rsid w:val="00932E1D"/>
    <w:rsid w:val="009330D8"/>
    <w:rsid w:val="00933E32"/>
    <w:rsid w:val="00935042"/>
    <w:rsid w:val="00942152"/>
    <w:rsid w:val="00945B36"/>
    <w:rsid w:val="00946650"/>
    <w:rsid w:val="00946786"/>
    <w:rsid w:val="0096003D"/>
    <w:rsid w:val="00963026"/>
    <w:rsid w:val="00965215"/>
    <w:rsid w:val="00967812"/>
    <w:rsid w:val="00967E54"/>
    <w:rsid w:val="00970C5D"/>
    <w:rsid w:val="00990326"/>
    <w:rsid w:val="009922B5"/>
    <w:rsid w:val="00993091"/>
    <w:rsid w:val="00995727"/>
    <w:rsid w:val="009A5E24"/>
    <w:rsid w:val="009B20DF"/>
    <w:rsid w:val="009B7587"/>
    <w:rsid w:val="009C05AF"/>
    <w:rsid w:val="009C0996"/>
    <w:rsid w:val="009C38A6"/>
    <w:rsid w:val="009C3ECC"/>
    <w:rsid w:val="009C552E"/>
    <w:rsid w:val="009D38F1"/>
    <w:rsid w:val="009D6E8D"/>
    <w:rsid w:val="009E0D35"/>
    <w:rsid w:val="009E6B6B"/>
    <w:rsid w:val="009F321C"/>
    <w:rsid w:val="009F47D8"/>
    <w:rsid w:val="00A00368"/>
    <w:rsid w:val="00A00FE3"/>
    <w:rsid w:val="00A012B1"/>
    <w:rsid w:val="00A05A87"/>
    <w:rsid w:val="00A06588"/>
    <w:rsid w:val="00A111A7"/>
    <w:rsid w:val="00A12F76"/>
    <w:rsid w:val="00A15CAB"/>
    <w:rsid w:val="00A21ECF"/>
    <w:rsid w:val="00A27A0C"/>
    <w:rsid w:val="00A30B9C"/>
    <w:rsid w:val="00A30D13"/>
    <w:rsid w:val="00A31986"/>
    <w:rsid w:val="00A331F2"/>
    <w:rsid w:val="00A337DA"/>
    <w:rsid w:val="00A42DC6"/>
    <w:rsid w:val="00A43EE0"/>
    <w:rsid w:val="00A45AA8"/>
    <w:rsid w:val="00A477AE"/>
    <w:rsid w:val="00A47B6E"/>
    <w:rsid w:val="00A50B42"/>
    <w:rsid w:val="00A549A0"/>
    <w:rsid w:val="00A55A9B"/>
    <w:rsid w:val="00A55B08"/>
    <w:rsid w:val="00A569DE"/>
    <w:rsid w:val="00A60FB3"/>
    <w:rsid w:val="00A64616"/>
    <w:rsid w:val="00A66B5A"/>
    <w:rsid w:val="00A66B96"/>
    <w:rsid w:val="00A7178B"/>
    <w:rsid w:val="00A71EA5"/>
    <w:rsid w:val="00A73A8B"/>
    <w:rsid w:val="00A74DB8"/>
    <w:rsid w:val="00A8273B"/>
    <w:rsid w:val="00A85B69"/>
    <w:rsid w:val="00A9408B"/>
    <w:rsid w:val="00AA07A8"/>
    <w:rsid w:val="00AA10F6"/>
    <w:rsid w:val="00AA53E0"/>
    <w:rsid w:val="00AA5441"/>
    <w:rsid w:val="00AA7232"/>
    <w:rsid w:val="00AA7FB8"/>
    <w:rsid w:val="00AB2FC2"/>
    <w:rsid w:val="00AB5BA4"/>
    <w:rsid w:val="00AC31BF"/>
    <w:rsid w:val="00AC3228"/>
    <w:rsid w:val="00AC44D4"/>
    <w:rsid w:val="00AD59DB"/>
    <w:rsid w:val="00AD6C62"/>
    <w:rsid w:val="00AE32FB"/>
    <w:rsid w:val="00AF3399"/>
    <w:rsid w:val="00AF3D40"/>
    <w:rsid w:val="00AF5678"/>
    <w:rsid w:val="00AF7CC0"/>
    <w:rsid w:val="00B020A9"/>
    <w:rsid w:val="00B06469"/>
    <w:rsid w:val="00B11A02"/>
    <w:rsid w:val="00B12202"/>
    <w:rsid w:val="00B162D2"/>
    <w:rsid w:val="00B16886"/>
    <w:rsid w:val="00B23242"/>
    <w:rsid w:val="00B233FE"/>
    <w:rsid w:val="00B33A7B"/>
    <w:rsid w:val="00B40B6F"/>
    <w:rsid w:val="00B41049"/>
    <w:rsid w:val="00B41390"/>
    <w:rsid w:val="00B45FCC"/>
    <w:rsid w:val="00B547EF"/>
    <w:rsid w:val="00B56734"/>
    <w:rsid w:val="00B60F34"/>
    <w:rsid w:val="00B61062"/>
    <w:rsid w:val="00B63A2C"/>
    <w:rsid w:val="00B63C7B"/>
    <w:rsid w:val="00B6606B"/>
    <w:rsid w:val="00B7016D"/>
    <w:rsid w:val="00B704CC"/>
    <w:rsid w:val="00B73029"/>
    <w:rsid w:val="00B7553E"/>
    <w:rsid w:val="00B7645C"/>
    <w:rsid w:val="00B8213C"/>
    <w:rsid w:val="00B855CB"/>
    <w:rsid w:val="00B86C9F"/>
    <w:rsid w:val="00B87DCF"/>
    <w:rsid w:val="00B87E50"/>
    <w:rsid w:val="00B90602"/>
    <w:rsid w:val="00B946EF"/>
    <w:rsid w:val="00B94738"/>
    <w:rsid w:val="00B9689E"/>
    <w:rsid w:val="00BA04C1"/>
    <w:rsid w:val="00BB0779"/>
    <w:rsid w:val="00BB0E26"/>
    <w:rsid w:val="00BB3406"/>
    <w:rsid w:val="00BB3D6A"/>
    <w:rsid w:val="00BB4A77"/>
    <w:rsid w:val="00BB552E"/>
    <w:rsid w:val="00BB5FC3"/>
    <w:rsid w:val="00BC2267"/>
    <w:rsid w:val="00BC26E1"/>
    <w:rsid w:val="00BC2853"/>
    <w:rsid w:val="00BC6789"/>
    <w:rsid w:val="00BD00C3"/>
    <w:rsid w:val="00BD0D2D"/>
    <w:rsid w:val="00BD37B5"/>
    <w:rsid w:val="00BD3DD2"/>
    <w:rsid w:val="00BD4EC8"/>
    <w:rsid w:val="00BD626D"/>
    <w:rsid w:val="00BD629D"/>
    <w:rsid w:val="00BD65B9"/>
    <w:rsid w:val="00BE1290"/>
    <w:rsid w:val="00BE2E01"/>
    <w:rsid w:val="00BE4B56"/>
    <w:rsid w:val="00BE5872"/>
    <w:rsid w:val="00BE6A61"/>
    <w:rsid w:val="00BF035C"/>
    <w:rsid w:val="00BF1E0D"/>
    <w:rsid w:val="00BF2E1B"/>
    <w:rsid w:val="00BF4CCE"/>
    <w:rsid w:val="00BF564A"/>
    <w:rsid w:val="00C00178"/>
    <w:rsid w:val="00C012D9"/>
    <w:rsid w:val="00C0175A"/>
    <w:rsid w:val="00C01CAC"/>
    <w:rsid w:val="00C0215D"/>
    <w:rsid w:val="00C02295"/>
    <w:rsid w:val="00C041EE"/>
    <w:rsid w:val="00C060B5"/>
    <w:rsid w:val="00C13AFE"/>
    <w:rsid w:val="00C20845"/>
    <w:rsid w:val="00C219B5"/>
    <w:rsid w:val="00C221A1"/>
    <w:rsid w:val="00C24EC3"/>
    <w:rsid w:val="00C31160"/>
    <w:rsid w:val="00C3550C"/>
    <w:rsid w:val="00C375DC"/>
    <w:rsid w:val="00C37F07"/>
    <w:rsid w:val="00C37FF7"/>
    <w:rsid w:val="00C40C8B"/>
    <w:rsid w:val="00C459B3"/>
    <w:rsid w:val="00C46320"/>
    <w:rsid w:val="00C46E3C"/>
    <w:rsid w:val="00C51DF9"/>
    <w:rsid w:val="00C57054"/>
    <w:rsid w:val="00C662D1"/>
    <w:rsid w:val="00C6732F"/>
    <w:rsid w:val="00C72EB9"/>
    <w:rsid w:val="00C738C0"/>
    <w:rsid w:val="00C8141D"/>
    <w:rsid w:val="00C83218"/>
    <w:rsid w:val="00C95779"/>
    <w:rsid w:val="00CA1A7C"/>
    <w:rsid w:val="00CA1AE3"/>
    <w:rsid w:val="00CA24E0"/>
    <w:rsid w:val="00CA377D"/>
    <w:rsid w:val="00CA431F"/>
    <w:rsid w:val="00CA5C64"/>
    <w:rsid w:val="00CA6804"/>
    <w:rsid w:val="00CB240D"/>
    <w:rsid w:val="00CB2B06"/>
    <w:rsid w:val="00CB4253"/>
    <w:rsid w:val="00CD32CB"/>
    <w:rsid w:val="00CE36CF"/>
    <w:rsid w:val="00CE50EE"/>
    <w:rsid w:val="00CF5031"/>
    <w:rsid w:val="00CF63BB"/>
    <w:rsid w:val="00CF6A93"/>
    <w:rsid w:val="00CF70E4"/>
    <w:rsid w:val="00D023CB"/>
    <w:rsid w:val="00D05223"/>
    <w:rsid w:val="00D059B0"/>
    <w:rsid w:val="00D1041F"/>
    <w:rsid w:val="00D12C47"/>
    <w:rsid w:val="00D13E0A"/>
    <w:rsid w:val="00D22A15"/>
    <w:rsid w:val="00D230DE"/>
    <w:rsid w:val="00D314E5"/>
    <w:rsid w:val="00D32B91"/>
    <w:rsid w:val="00D3427A"/>
    <w:rsid w:val="00D407CD"/>
    <w:rsid w:val="00D42828"/>
    <w:rsid w:val="00D44151"/>
    <w:rsid w:val="00D44364"/>
    <w:rsid w:val="00D457E7"/>
    <w:rsid w:val="00D468E5"/>
    <w:rsid w:val="00D4710E"/>
    <w:rsid w:val="00D523F5"/>
    <w:rsid w:val="00D56EB1"/>
    <w:rsid w:val="00D57E53"/>
    <w:rsid w:val="00D63864"/>
    <w:rsid w:val="00D65AA0"/>
    <w:rsid w:val="00D703EE"/>
    <w:rsid w:val="00D713FD"/>
    <w:rsid w:val="00D7152A"/>
    <w:rsid w:val="00D73573"/>
    <w:rsid w:val="00D73853"/>
    <w:rsid w:val="00D77D44"/>
    <w:rsid w:val="00D828A8"/>
    <w:rsid w:val="00D82C4E"/>
    <w:rsid w:val="00D83EBC"/>
    <w:rsid w:val="00D857EC"/>
    <w:rsid w:val="00D875F9"/>
    <w:rsid w:val="00D87941"/>
    <w:rsid w:val="00D90DE6"/>
    <w:rsid w:val="00D92EF1"/>
    <w:rsid w:val="00D96AF0"/>
    <w:rsid w:val="00DA3C5C"/>
    <w:rsid w:val="00DA4DF7"/>
    <w:rsid w:val="00DB1291"/>
    <w:rsid w:val="00DC16E3"/>
    <w:rsid w:val="00DC1959"/>
    <w:rsid w:val="00DD1799"/>
    <w:rsid w:val="00DD4540"/>
    <w:rsid w:val="00DE3B9B"/>
    <w:rsid w:val="00DE41D8"/>
    <w:rsid w:val="00DE5845"/>
    <w:rsid w:val="00DE6DE5"/>
    <w:rsid w:val="00DE6EF8"/>
    <w:rsid w:val="00DF2DFA"/>
    <w:rsid w:val="00DF51BD"/>
    <w:rsid w:val="00E00E57"/>
    <w:rsid w:val="00E03F2E"/>
    <w:rsid w:val="00E04F37"/>
    <w:rsid w:val="00E06BFF"/>
    <w:rsid w:val="00E0789F"/>
    <w:rsid w:val="00E11AF9"/>
    <w:rsid w:val="00E17128"/>
    <w:rsid w:val="00E27258"/>
    <w:rsid w:val="00E27A05"/>
    <w:rsid w:val="00E3386C"/>
    <w:rsid w:val="00E3697B"/>
    <w:rsid w:val="00E44ABD"/>
    <w:rsid w:val="00E45B78"/>
    <w:rsid w:val="00E51C25"/>
    <w:rsid w:val="00E60BEC"/>
    <w:rsid w:val="00E61ECB"/>
    <w:rsid w:val="00E63928"/>
    <w:rsid w:val="00E72446"/>
    <w:rsid w:val="00E7284F"/>
    <w:rsid w:val="00E72BA3"/>
    <w:rsid w:val="00E7797E"/>
    <w:rsid w:val="00E80D38"/>
    <w:rsid w:val="00E82C35"/>
    <w:rsid w:val="00E8342D"/>
    <w:rsid w:val="00E846A0"/>
    <w:rsid w:val="00E871F6"/>
    <w:rsid w:val="00E90048"/>
    <w:rsid w:val="00EA09FC"/>
    <w:rsid w:val="00EA1153"/>
    <w:rsid w:val="00EA31A4"/>
    <w:rsid w:val="00EA391E"/>
    <w:rsid w:val="00EA595B"/>
    <w:rsid w:val="00EB0917"/>
    <w:rsid w:val="00EB25B5"/>
    <w:rsid w:val="00EB5211"/>
    <w:rsid w:val="00EB5FDE"/>
    <w:rsid w:val="00EB713B"/>
    <w:rsid w:val="00EC4775"/>
    <w:rsid w:val="00EC55AC"/>
    <w:rsid w:val="00EC664A"/>
    <w:rsid w:val="00ED2AE4"/>
    <w:rsid w:val="00ED4CF1"/>
    <w:rsid w:val="00EE3C79"/>
    <w:rsid w:val="00EE4622"/>
    <w:rsid w:val="00EF3144"/>
    <w:rsid w:val="00EF44D7"/>
    <w:rsid w:val="00EF54E1"/>
    <w:rsid w:val="00EF5C54"/>
    <w:rsid w:val="00F0059D"/>
    <w:rsid w:val="00F0103F"/>
    <w:rsid w:val="00F05F3C"/>
    <w:rsid w:val="00F06F43"/>
    <w:rsid w:val="00F12FA1"/>
    <w:rsid w:val="00F30406"/>
    <w:rsid w:val="00F322E1"/>
    <w:rsid w:val="00F34996"/>
    <w:rsid w:val="00F35492"/>
    <w:rsid w:val="00F37DEF"/>
    <w:rsid w:val="00F40B4D"/>
    <w:rsid w:val="00F516EB"/>
    <w:rsid w:val="00F53BCD"/>
    <w:rsid w:val="00F62CC7"/>
    <w:rsid w:val="00F62DC7"/>
    <w:rsid w:val="00F632B7"/>
    <w:rsid w:val="00F67398"/>
    <w:rsid w:val="00F7024B"/>
    <w:rsid w:val="00F709C0"/>
    <w:rsid w:val="00F73B08"/>
    <w:rsid w:val="00F82D26"/>
    <w:rsid w:val="00F85DDD"/>
    <w:rsid w:val="00F86A8A"/>
    <w:rsid w:val="00F92FB2"/>
    <w:rsid w:val="00F95B39"/>
    <w:rsid w:val="00F95CBF"/>
    <w:rsid w:val="00F95D97"/>
    <w:rsid w:val="00FA6747"/>
    <w:rsid w:val="00FB0DB0"/>
    <w:rsid w:val="00FB35DA"/>
    <w:rsid w:val="00FB754D"/>
    <w:rsid w:val="00FB7CFF"/>
    <w:rsid w:val="00FC2B6B"/>
    <w:rsid w:val="00FC3356"/>
    <w:rsid w:val="00FC4A81"/>
    <w:rsid w:val="00FC71BC"/>
    <w:rsid w:val="00FD3DAD"/>
    <w:rsid w:val="00FD40A0"/>
    <w:rsid w:val="00FD7AB3"/>
    <w:rsid w:val="00FE2461"/>
    <w:rsid w:val="00FE6594"/>
    <w:rsid w:val="00FF1876"/>
    <w:rsid w:val="00FF3664"/>
    <w:rsid w:val="00FF455D"/>
    <w:rsid w:val="00FF4744"/>
    <w:rsid w:val="00FF4CA5"/>
    <w:rsid w:val="00FF6EF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Soliciations@jud.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Solicitations@jud.ca.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BDE20-A652-45CE-A495-02C188E4F70F}">
  <ds:schemaRefs>
    <ds:schemaRef ds:uri="http://schemas.openxmlformats.org/officeDocument/2006/bibliography"/>
  </ds:schemaRefs>
</ds:datastoreItem>
</file>

<file path=customXml/itemProps10.xml><?xml version="1.0" encoding="utf-8"?>
<ds:datastoreItem xmlns:ds="http://schemas.openxmlformats.org/officeDocument/2006/customXml" ds:itemID="{E09F405D-8152-41BC-A109-A68294EE43C6}">
  <ds:schemaRefs>
    <ds:schemaRef ds:uri="http://schemas.openxmlformats.org/officeDocument/2006/bibliography"/>
  </ds:schemaRefs>
</ds:datastoreItem>
</file>

<file path=customXml/itemProps2.xml><?xml version="1.0" encoding="utf-8"?>
<ds:datastoreItem xmlns:ds="http://schemas.openxmlformats.org/officeDocument/2006/customXml" ds:itemID="{547DE099-14C8-414A-B4B4-366CBBAF3516}">
  <ds:schemaRefs>
    <ds:schemaRef ds:uri="http://schemas.openxmlformats.org/officeDocument/2006/bibliography"/>
  </ds:schemaRefs>
</ds:datastoreItem>
</file>

<file path=customXml/itemProps3.xml><?xml version="1.0" encoding="utf-8"?>
<ds:datastoreItem xmlns:ds="http://schemas.openxmlformats.org/officeDocument/2006/customXml" ds:itemID="{8EEE8D0C-FF04-4CB4-AE03-868F7D6FC25C}">
  <ds:schemaRefs>
    <ds:schemaRef ds:uri="http://schemas.openxmlformats.org/officeDocument/2006/bibliography"/>
  </ds:schemaRefs>
</ds:datastoreItem>
</file>

<file path=customXml/itemProps4.xml><?xml version="1.0" encoding="utf-8"?>
<ds:datastoreItem xmlns:ds="http://schemas.openxmlformats.org/officeDocument/2006/customXml" ds:itemID="{3DE567FC-DD21-45E2-9A83-C5E2AB1246B1}">
  <ds:schemaRefs>
    <ds:schemaRef ds:uri="http://schemas.openxmlformats.org/officeDocument/2006/bibliography"/>
  </ds:schemaRefs>
</ds:datastoreItem>
</file>

<file path=customXml/itemProps5.xml><?xml version="1.0" encoding="utf-8"?>
<ds:datastoreItem xmlns:ds="http://schemas.openxmlformats.org/officeDocument/2006/customXml" ds:itemID="{6B18D303-9DB0-4114-9ADC-606F60E2C85A}">
  <ds:schemaRefs>
    <ds:schemaRef ds:uri="http://schemas.openxmlformats.org/officeDocument/2006/bibliography"/>
  </ds:schemaRefs>
</ds:datastoreItem>
</file>

<file path=customXml/itemProps6.xml><?xml version="1.0" encoding="utf-8"?>
<ds:datastoreItem xmlns:ds="http://schemas.openxmlformats.org/officeDocument/2006/customXml" ds:itemID="{91FA2FC5-04A7-4C8E-9A49-A561B5D11074}">
  <ds:schemaRefs>
    <ds:schemaRef ds:uri="http://schemas.openxmlformats.org/officeDocument/2006/bibliography"/>
  </ds:schemaRefs>
</ds:datastoreItem>
</file>

<file path=customXml/itemProps7.xml><?xml version="1.0" encoding="utf-8"?>
<ds:datastoreItem xmlns:ds="http://schemas.openxmlformats.org/officeDocument/2006/customXml" ds:itemID="{6BACDBCA-0C9A-49C2-AB87-66D3925458FD}">
  <ds:schemaRefs>
    <ds:schemaRef ds:uri="http://schemas.openxmlformats.org/officeDocument/2006/bibliography"/>
  </ds:schemaRefs>
</ds:datastoreItem>
</file>

<file path=customXml/itemProps8.xml><?xml version="1.0" encoding="utf-8"?>
<ds:datastoreItem xmlns:ds="http://schemas.openxmlformats.org/officeDocument/2006/customXml" ds:itemID="{71FBB3EC-9538-418D-8010-13104ACF864A}">
  <ds:schemaRefs>
    <ds:schemaRef ds:uri="http://schemas.openxmlformats.org/officeDocument/2006/bibliography"/>
  </ds:schemaRefs>
</ds:datastoreItem>
</file>

<file path=customXml/itemProps9.xml><?xml version="1.0" encoding="utf-8"?>
<ds:datastoreItem xmlns:ds="http://schemas.openxmlformats.org/officeDocument/2006/customXml" ds:itemID="{9EBB6939-06EE-440F-AF02-B6D5C964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6179</Words>
  <Characters>35222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17</cp:revision>
  <cp:lastPrinted>2012-06-01T01:10:00Z</cp:lastPrinted>
  <dcterms:created xsi:type="dcterms:W3CDTF">2012-06-18T15:57:00Z</dcterms:created>
  <dcterms:modified xsi:type="dcterms:W3CDTF">2012-06-19T18:49:00Z</dcterms:modified>
</cp:coreProperties>
</file>